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ERASMUS+</w:t>
      </w: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AZIONE CHIAVE 1 – INTERNATIONAL CREDIT MOBILITY</w:t>
      </w: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SETTORE ISTRUZIONE SUPERIORE</w:t>
      </w: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GESTIONE DELLA MOBILITÁ INTERNAZIONALE IN ERASMUS+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</w:p>
    <w:p w:rsidR="001911DA" w:rsidRPr="00166040" w:rsidRDefault="001911DA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Introduzione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La presente nota mira a fornire agli Istituti di Istruzione Superiore dei Paesi partecipanti al Programma una serie di informazioni circa l’organizzazione della mobilità internazionale </w:t>
      </w:r>
      <w:r w:rsidR="000D332E">
        <w:rPr>
          <w:rFonts w:ascii="Times New Roman" w:hAnsi="Times New Roman" w:cs="Times New Roman"/>
        </w:rPr>
        <w:t xml:space="preserve">con i Paesi Partner </w:t>
      </w:r>
      <w:r w:rsidRPr="00166040">
        <w:rPr>
          <w:rFonts w:ascii="Times New Roman" w:hAnsi="Times New Roman" w:cs="Times New Roman"/>
        </w:rPr>
        <w:t xml:space="preserve">oltre l’Europa. Queste informazioni sono utili per gli Istituti di Istruzione Superiore che saranno responsabili della presentazione della candidatura all’Agenzia Nazionale per richiedere finanziamenti per la mobilità di studenti e staff sia </w:t>
      </w:r>
      <w:r w:rsidRPr="00166040">
        <w:rPr>
          <w:rFonts w:ascii="Times New Roman" w:hAnsi="Times New Roman" w:cs="Times New Roman"/>
          <w:u w:val="single"/>
        </w:rPr>
        <w:t>in entrata</w:t>
      </w:r>
      <w:r w:rsidRPr="00166040">
        <w:rPr>
          <w:rFonts w:ascii="Times New Roman" w:hAnsi="Times New Roman" w:cs="Times New Roman"/>
        </w:rPr>
        <w:t xml:space="preserve"> che in uscita. I Paesi partecipanti al Programma sono i 28 Stati membri dell’Unione europea, la ex Repubblica Iugoslava di Macedonia, l’Islanda, il Liechtenstein, la Norvegia, e la Turchia.</w:t>
      </w: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Copertura Geografica dell’Invito a presentare proposte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Nell’ambito dell’invito a presentare proposte 2015, il budget disponibile per la mobilità internazionale deriva da 4 diversi strumenti finanziari dell’Unione europea, ovvero: </w:t>
      </w:r>
    </w:p>
    <w:p w:rsidR="00061DDA" w:rsidRPr="00166040" w:rsidRDefault="00061DDA" w:rsidP="0016604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66040">
        <w:rPr>
          <w:rFonts w:ascii="Times New Roman" w:hAnsi="Times New Roman" w:cs="Times New Roman"/>
          <w:lang w:val="en-US"/>
        </w:rPr>
        <w:t>Instrument for Pre-accession (</w:t>
      </w:r>
      <w:r w:rsidRPr="00166040">
        <w:rPr>
          <w:rFonts w:ascii="Times New Roman" w:hAnsi="Times New Roman" w:cs="Times New Roman"/>
          <w:b/>
          <w:lang w:val="en-US"/>
        </w:rPr>
        <w:t>IPA</w:t>
      </w:r>
      <w:r w:rsidRPr="00166040">
        <w:rPr>
          <w:rFonts w:ascii="Times New Roman" w:hAnsi="Times New Roman" w:cs="Times New Roman"/>
          <w:lang w:val="en-US"/>
        </w:rPr>
        <w:t>)</w:t>
      </w:r>
    </w:p>
    <w:p w:rsidR="00061DDA" w:rsidRPr="00166040" w:rsidRDefault="00061DDA" w:rsidP="001660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66040">
        <w:rPr>
          <w:rFonts w:ascii="Times New Roman" w:hAnsi="Times New Roman" w:cs="Times New Roman"/>
        </w:rPr>
        <w:t>European</w:t>
      </w:r>
      <w:proofErr w:type="spellEnd"/>
      <w:r w:rsidRPr="00166040">
        <w:rPr>
          <w:rFonts w:ascii="Times New Roman" w:hAnsi="Times New Roman" w:cs="Times New Roman"/>
        </w:rPr>
        <w:t xml:space="preserve"> </w:t>
      </w:r>
      <w:proofErr w:type="spellStart"/>
      <w:r w:rsidRPr="00166040">
        <w:rPr>
          <w:rFonts w:ascii="Times New Roman" w:hAnsi="Times New Roman" w:cs="Times New Roman"/>
        </w:rPr>
        <w:t>Neighbourhood</w:t>
      </w:r>
      <w:proofErr w:type="spellEnd"/>
      <w:r w:rsidRPr="00166040">
        <w:rPr>
          <w:rFonts w:ascii="Times New Roman" w:hAnsi="Times New Roman" w:cs="Times New Roman"/>
        </w:rPr>
        <w:t xml:space="preserve"> </w:t>
      </w:r>
      <w:proofErr w:type="spellStart"/>
      <w:r w:rsidRPr="00166040">
        <w:rPr>
          <w:rFonts w:ascii="Times New Roman" w:hAnsi="Times New Roman" w:cs="Times New Roman"/>
        </w:rPr>
        <w:t>Instrument</w:t>
      </w:r>
      <w:proofErr w:type="spellEnd"/>
      <w:r w:rsidRPr="00166040">
        <w:rPr>
          <w:rFonts w:ascii="Times New Roman" w:hAnsi="Times New Roman" w:cs="Times New Roman"/>
        </w:rPr>
        <w:t xml:space="preserve"> (</w:t>
      </w:r>
      <w:r w:rsidRPr="00166040">
        <w:rPr>
          <w:rFonts w:ascii="Times New Roman" w:hAnsi="Times New Roman" w:cs="Times New Roman"/>
          <w:b/>
        </w:rPr>
        <w:t>ENI</w:t>
      </w:r>
      <w:r w:rsidRPr="00166040">
        <w:rPr>
          <w:rFonts w:ascii="Times New Roman" w:hAnsi="Times New Roman" w:cs="Times New Roman"/>
        </w:rPr>
        <w:t>)</w:t>
      </w:r>
    </w:p>
    <w:p w:rsidR="00061DDA" w:rsidRPr="00166040" w:rsidRDefault="00061DDA" w:rsidP="0016604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66040">
        <w:rPr>
          <w:rFonts w:ascii="Times New Roman" w:hAnsi="Times New Roman" w:cs="Times New Roman"/>
          <w:lang w:val="en-US"/>
        </w:rPr>
        <w:t>Development Co-operation Instrument (</w:t>
      </w:r>
      <w:r w:rsidRPr="00166040">
        <w:rPr>
          <w:rFonts w:ascii="Times New Roman" w:hAnsi="Times New Roman" w:cs="Times New Roman"/>
          <w:b/>
          <w:lang w:val="en-US"/>
        </w:rPr>
        <w:t>DCI</w:t>
      </w:r>
      <w:r w:rsidRPr="00166040">
        <w:rPr>
          <w:rFonts w:ascii="Times New Roman" w:hAnsi="Times New Roman" w:cs="Times New Roman"/>
          <w:lang w:val="en-US"/>
        </w:rPr>
        <w:t>)</w:t>
      </w:r>
    </w:p>
    <w:p w:rsidR="00061DDA" w:rsidRPr="00166040" w:rsidRDefault="00061DDA" w:rsidP="00166040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Partnership </w:t>
      </w:r>
      <w:proofErr w:type="spellStart"/>
      <w:r w:rsidRPr="00166040">
        <w:rPr>
          <w:rFonts w:ascii="Times New Roman" w:hAnsi="Times New Roman" w:cs="Times New Roman"/>
        </w:rPr>
        <w:t>Instrument</w:t>
      </w:r>
      <w:proofErr w:type="spellEnd"/>
      <w:r w:rsidRPr="00166040">
        <w:rPr>
          <w:rFonts w:ascii="Times New Roman" w:hAnsi="Times New Roman" w:cs="Times New Roman"/>
        </w:rPr>
        <w:t xml:space="preserve"> (</w:t>
      </w:r>
      <w:r w:rsidRPr="00166040">
        <w:rPr>
          <w:rFonts w:ascii="Times New Roman" w:hAnsi="Times New Roman" w:cs="Times New Roman"/>
          <w:b/>
        </w:rPr>
        <w:t>PI</w:t>
      </w:r>
      <w:r w:rsidRPr="00166040">
        <w:rPr>
          <w:rFonts w:ascii="Times New Roman" w:hAnsi="Times New Roman" w:cs="Times New Roman"/>
        </w:rPr>
        <w:t>)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sopra menzionati 4 strumenti finanziari sono a loro volta suddivisi in 10 diversi </w:t>
      </w:r>
      <w:proofErr w:type="spellStart"/>
      <w:r w:rsidRPr="00166040">
        <w:rPr>
          <w:rFonts w:ascii="Times New Roman" w:hAnsi="Times New Roman" w:cs="Times New Roman"/>
        </w:rPr>
        <w:t>sottocapitoli</w:t>
      </w:r>
      <w:proofErr w:type="spellEnd"/>
      <w:r w:rsidRPr="00166040">
        <w:rPr>
          <w:rFonts w:ascii="Times New Roman" w:hAnsi="Times New Roman" w:cs="Times New Roman"/>
        </w:rPr>
        <w:t xml:space="preserve"> che coprono la più gran parte delle regioni del mondo, ma non tutte.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</w:t>
      </w:r>
      <w:proofErr w:type="spellStart"/>
      <w:r w:rsidRPr="00166040">
        <w:rPr>
          <w:rFonts w:ascii="Times New Roman" w:hAnsi="Times New Roman" w:cs="Times New Roman"/>
        </w:rPr>
        <w:t>sottocapitoli</w:t>
      </w:r>
      <w:proofErr w:type="spellEnd"/>
      <w:r w:rsidRPr="00166040">
        <w:rPr>
          <w:rFonts w:ascii="Times New Roman" w:hAnsi="Times New Roman" w:cs="Times New Roman"/>
        </w:rPr>
        <w:t xml:space="preserve"> del budget e i Paesi in essi ricompresi sono elencati qui di seguito. I Paesi che non compaiono nel seguente elenco non sono eleggibili alla mobilità internazionale per il 2015.</w:t>
      </w:r>
    </w:p>
    <w:p w:rsidR="001911DA" w:rsidRPr="00166040" w:rsidRDefault="001911DA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pStyle w:val="Guide-Heading5"/>
        <w:keepNext w:val="0"/>
        <w:widowControl w:val="0"/>
        <w:suppressAutoHyphens w:val="0"/>
        <w:spacing w:before="0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proofErr w:type="gramStart"/>
      <w:r w:rsidRPr="00166040">
        <w:rPr>
          <w:rFonts w:ascii="Times New Roman" w:hAnsi="Times New Roman" w:cs="Times New Roman"/>
          <w:sz w:val="24"/>
          <w:szCs w:val="24"/>
        </w:rPr>
        <w:t>I</w:t>
      </w:r>
      <w:r w:rsidR="00166040">
        <w:rPr>
          <w:rFonts w:ascii="Times New Roman" w:hAnsi="Times New Roman" w:cs="Times New Roman"/>
          <w:sz w:val="24"/>
          <w:szCs w:val="24"/>
        </w:rPr>
        <w:t>nstrument  for</w:t>
      </w:r>
      <w:proofErr w:type="gramEnd"/>
      <w:r w:rsidR="00166040">
        <w:rPr>
          <w:rFonts w:ascii="Times New Roman" w:hAnsi="Times New Roman" w:cs="Times New Roman"/>
          <w:sz w:val="24"/>
          <w:szCs w:val="24"/>
        </w:rPr>
        <w:t xml:space="preserve"> </w:t>
      </w:r>
      <w:r w:rsidRPr="00166040">
        <w:rPr>
          <w:rFonts w:ascii="Times New Roman" w:hAnsi="Times New Roman" w:cs="Times New Roman"/>
          <w:sz w:val="24"/>
          <w:szCs w:val="24"/>
        </w:rPr>
        <w:t>P</w:t>
      </w:r>
      <w:r w:rsidR="00166040">
        <w:rPr>
          <w:rFonts w:ascii="Times New Roman" w:hAnsi="Times New Roman" w:cs="Times New Roman"/>
          <w:sz w:val="24"/>
          <w:szCs w:val="24"/>
        </w:rPr>
        <w:t>re</w:t>
      </w:r>
      <w:r w:rsidRPr="00166040">
        <w:rPr>
          <w:rFonts w:ascii="Times New Roman" w:hAnsi="Times New Roman" w:cs="Times New Roman"/>
          <w:sz w:val="24"/>
          <w:szCs w:val="24"/>
        </w:rPr>
        <w:t>-A</w:t>
      </w:r>
      <w:r w:rsidR="00166040">
        <w:rPr>
          <w:rFonts w:ascii="Times New Roman" w:hAnsi="Times New Roman" w:cs="Times New Roman"/>
          <w:sz w:val="24"/>
          <w:szCs w:val="24"/>
        </w:rPr>
        <w:t>ccession</w:t>
      </w:r>
      <w:r w:rsidRPr="00166040">
        <w:rPr>
          <w:rFonts w:ascii="Times New Roman" w:hAnsi="Times New Roman" w:cs="Times New Roman"/>
          <w:sz w:val="24"/>
          <w:szCs w:val="24"/>
        </w:rPr>
        <w:t xml:space="preserve"> (IPA)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IPA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Balcani</w:t>
            </w:r>
            <w:proofErr w:type="spellEnd"/>
            <w:r w:rsidRPr="00166040">
              <w:rPr>
                <w:szCs w:val="24"/>
              </w:rPr>
              <w:t xml:space="preserve"> </w:t>
            </w:r>
            <w:proofErr w:type="spellStart"/>
            <w:r w:rsidRPr="00166040">
              <w:rPr>
                <w:szCs w:val="24"/>
              </w:rPr>
              <w:t>Occidentali</w:t>
            </w:r>
            <w:proofErr w:type="spellEnd"/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>Albania, Bosnia-Erzegovina, Kosovo, Montenegro, Serbia</w:t>
            </w:r>
          </w:p>
        </w:tc>
      </w:tr>
    </w:tbl>
    <w:p w:rsidR="00061DDA" w:rsidRPr="00166040" w:rsidRDefault="00166040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  <w:r w:rsidR="00061DDA" w:rsidRPr="0016604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eighbourhood </w:t>
      </w:r>
      <w:r w:rsidR="00061DDA" w:rsidRPr="001660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nstrument</w:t>
      </w:r>
      <w:r w:rsidR="00061DDA" w:rsidRPr="00166040">
        <w:rPr>
          <w:rFonts w:ascii="Times New Roman" w:hAnsi="Times New Roman" w:cs="Times New Roman"/>
          <w:sz w:val="24"/>
          <w:szCs w:val="24"/>
        </w:rPr>
        <w:t xml:space="preserve"> (ENI)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ENI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Partenariato</w:t>
            </w:r>
            <w:proofErr w:type="spellEnd"/>
            <w:r w:rsidRPr="00166040">
              <w:rPr>
                <w:szCs w:val="24"/>
              </w:rPr>
              <w:t xml:space="preserve"> Orientale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>Armenia, Azerbaijan, Bielorussia, Georgia, Moldavia, Territorio dell’Ucraina come riconosciuto dal diritto internazionale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ENI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Mediterraneo</w:t>
            </w:r>
            <w:proofErr w:type="spellEnd"/>
            <w:r w:rsidRPr="00166040">
              <w:rPr>
                <w:szCs w:val="24"/>
              </w:rPr>
              <w:t xml:space="preserve"> </w:t>
            </w:r>
            <w:proofErr w:type="spellStart"/>
            <w:r w:rsidRPr="00166040">
              <w:rPr>
                <w:szCs w:val="24"/>
              </w:rPr>
              <w:t>meridionale</w:t>
            </w:r>
            <w:proofErr w:type="spellEnd"/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pacing w:before="30" w:after="3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166040">
              <w:rPr>
                <w:rFonts w:ascii="Times New Roman" w:hAnsi="Times New Roman" w:cs="Times New Roman"/>
              </w:rPr>
              <w:t>Algeria, Egitto, Israele, Giordania, Libano, Libia, Marocco, Palestina, Siria, Tunisia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ENI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lastRenderedPageBreak/>
              <w:t>Federazione</w:t>
            </w:r>
            <w:proofErr w:type="spellEnd"/>
            <w:r w:rsidRPr="00166040">
              <w:rPr>
                <w:szCs w:val="24"/>
              </w:rPr>
              <w:t xml:space="preserve"> </w:t>
            </w:r>
            <w:proofErr w:type="spellStart"/>
            <w:r w:rsidRPr="00166040">
              <w:rPr>
                <w:szCs w:val="24"/>
              </w:rPr>
              <w:t>russa</w:t>
            </w:r>
            <w:proofErr w:type="spellEnd"/>
            <w:r w:rsidRPr="00166040">
              <w:rPr>
                <w:rStyle w:val="Rimandonotaapidipagina"/>
                <w:szCs w:val="24"/>
              </w:rPr>
              <w:footnoteReference w:id="1"/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lastRenderedPageBreak/>
              <w:t>Territorio della Russia come riconosciuto dal diritto internazionale</w:t>
            </w:r>
          </w:p>
        </w:tc>
      </w:tr>
    </w:tbl>
    <w:p w:rsidR="00061DDA" w:rsidRPr="00166040" w:rsidRDefault="00061DDA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1DDA" w:rsidRPr="00166040" w:rsidRDefault="00166040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  <w:lang w:val="en-US"/>
        </w:rPr>
      </w:pPr>
      <w:r w:rsidRPr="00166040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061DDA" w:rsidRPr="001660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166040">
        <w:rPr>
          <w:rFonts w:ascii="Times New Roman" w:hAnsi="Times New Roman" w:cs="Times New Roman"/>
          <w:sz w:val="24"/>
          <w:szCs w:val="24"/>
          <w:lang w:val="en-US"/>
        </w:rPr>
        <w:t xml:space="preserve">o-operation </w:t>
      </w:r>
      <w:r w:rsidR="00061DDA" w:rsidRPr="001660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6040">
        <w:rPr>
          <w:rFonts w:ascii="Times New Roman" w:hAnsi="Times New Roman" w:cs="Times New Roman"/>
          <w:sz w:val="24"/>
          <w:szCs w:val="24"/>
          <w:lang w:val="en-US"/>
        </w:rPr>
        <w:t>nstrument</w:t>
      </w:r>
      <w:r w:rsidR="00061DDA" w:rsidRPr="00166040">
        <w:rPr>
          <w:rFonts w:ascii="Times New Roman" w:hAnsi="Times New Roman" w:cs="Times New Roman"/>
          <w:sz w:val="24"/>
          <w:szCs w:val="24"/>
          <w:lang w:val="en-US"/>
        </w:rPr>
        <w:t xml:space="preserve"> (DCI)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Asia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 xml:space="preserve">Afghanistan, Bangladesh, Bhutan, Cambogia, Cina, Corea del Nord, India, Indonesia, Laos, Malesia, Maldive, Mongolia, Myanmar, Nepal, Pakistan, Filippine, </w:t>
            </w:r>
            <w:proofErr w:type="spellStart"/>
            <w:r w:rsidRPr="00166040">
              <w:rPr>
                <w:rFonts w:ascii="Times New Roman" w:hAnsi="Times New Roman" w:cs="Times New Roman"/>
              </w:rPr>
              <w:t>Sri</w:t>
            </w:r>
            <w:proofErr w:type="spellEnd"/>
            <w:r w:rsidRPr="00166040">
              <w:rPr>
                <w:rFonts w:ascii="Times New Roman" w:hAnsi="Times New Roman" w:cs="Times New Roman"/>
              </w:rPr>
              <w:t xml:space="preserve"> Lanka, </w:t>
            </w:r>
            <w:proofErr w:type="spellStart"/>
            <w:r w:rsidRPr="00166040">
              <w:rPr>
                <w:rFonts w:ascii="Times New Roman" w:hAnsi="Times New Roman" w:cs="Times New Roman"/>
              </w:rPr>
              <w:t>Thailandia</w:t>
            </w:r>
            <w:proofErr w:type="spellEnd"/>
            <w:r w:rsidRPr="00166040">
              <w:rPr>
                <w:rFonts w:ascii="Times New Roman" w:hAnsi="Times New Roman" w:cs="Times New Roman"/>
              </w:rPr>
              <w:t xml:space="preserve"> e Vietnam</w:t>
            </w:r>
          </w:p>
        </w:tc>
      </w:tr>
      <w:tr w:rsidR="00061DDA" w:rsidRPr="00166040" w:rsidTr="003C0946">
        <w:trPr>
          <w:trHeight w:val="624"/>
        </w:trPr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Asia Centrale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  <w:lang w:val="fi-FI"/>
              </w:rPr>
            </w:pPr>
            <w:r w:rsidRPr="00166040">
              <w:rPr>
                <w:rFonts w:ascii="Times New Roman" w:hAnsi="Times New Roman" w:cs="Times New Roman"/>
                <w:lang w:val="fi-FI"/>
              </w:rPr>
              <w:t>Kazakhistan, Kirghizistan, Tagikistan, Turkmenistan, Uzbekistan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America Latina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FD5609" w:rsidP="00166040">
            <w:pPr>
              <w:jc w:val="both"/>
              <w:rPr>
                <w:rFonts w:ascii="Times New Roman" w:hAnsi="Times New Roman" w:cs="Times New Roman"/>
                <w:lang w:val="es-ES" w:eastAsia="en-GB"/>
              </w:rPr>
            </w:pPr>
            <w:hyperlink r:id="rId7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Argentina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8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Bolivia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9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Brasil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e, </w:t>
            </w:r>
            <w:hyperlink r:id="rId10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Cile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1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Colombia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2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Costa Rica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Cuba, </w:t>
            </w:r>
            <w:r w:rsidR="00061DDA" w:rsidRPr="00166040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61DDA" w:rsidRPr="00166040">
              <w:rPr>
                <w:rFonts w:ascii="Times New Roman" w:hAnsi="Times New Roman" w:cs="Times New Roman"/>
              </w:rPr>
              <w:instrText xml:space="preserve"> HYPERLINK "http://ec.europa.eu/europeaid/where/latin-america/country-cooperation/ecuador/ecuador_en.htm" </w:instrText>
            </w:r>
            <w:r w:rsidR="00061DDA" w:rsidRPr="00166040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>Ecuador</w:t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fldChar w:fldCharType="end"/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3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El Salvador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4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Guatemala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5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Honduras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6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Messico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7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Nicaragua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8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Panama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9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Paraguay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Perù, </w:t>
            </w:r>
            <w:hyperlink r:id="rId20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Uruguay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21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Venezuela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 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Sud-Africa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Sud-Africa</w:t>
            </w:r>
          </w:p>
        </w:tc>
      </w:tr>
    </w:tbl>
    <w:p w:rsidR="00061DDA" w:rsidRPr="00166040" w:rsidRDefault="00061DDA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1DDA" w:rsidRPr="00166040" w:rsidRDefault="00061DDA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  <w:lang w:val="it-IT"/>
        </w:rPr>
      </w:pPr>
      <w:r w:rsidRPr="0016604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166040">
        <w:rPr>
          <w:rFonts w:ascii="Times New Roman" w:hAnsi="Times New Roman" w:cs="Times New Roman"/>
          <w:sz w:val="24"/>
          <w:szCs w:val="24"/>
          <w:lang w:val="it-IT"/>
        </w:rPr>
        <w:t>artnership</w:t>
      </w:r>
      <w:r w:rsidRPr="001660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6604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66040">
        <w:rPr>
          <w:rFonts w:ascii="Times New Roman" w:hAnsi="Times New Roman" w:cs="Times New Roman"/>
          <w:sz w:val="24"/>
          <w:szCs w:val="24"/>
          <w:lang w:val="it-IT"/>
        </w:rPr>
        <w:t>nstrument</w:t>
      </w:r>
      <w:proofErr w:type="spellEnd"/>
      <w:r w:rsidRPr="00166040">
        <w:rPr>
          <w:rFonts w:ascii="Times New Roman" w:hAnsi="Times New Roman" w:cs="Times New Roman"/>
          <w:sz w:val="24"/>
          <w:szCs w:val="24"/>
          <w:lang w:val="it-IT"/>
        </w:rPr>
        <w:t xml:space="preserve"> (PI)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rPr>
          <w:trHeight w:val="82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PI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Paesi industrializzati dell’America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A" w:rsidRPr="00166040" w:rsidRDefault="00061DDA" w:rsidP="00166040">
            <w:pPr>
              <w:jc w:val="both"/>
              <w:rPr>
                <w:rFonts w:ascii="Times New Roman" w:hAnsi="Times New Roman" w:cs="Times New Roman"/>
              </w:rPr>
            </w:pPr>
            <w:r w:rsidRPr="00166040">
              <w:rPr>
                <w:rFonts w:ascii="Times New Roman" w:hAnsi="Times New Roman" w:cs="Times New Roman"/>
              </w:rPr>
              <w:t>Canada, Stati Uniti d’America</w:t>
            </w:r>
          </w:p>
        </w:tc>
      </w:tr>
      <w:tr w:rsidR="00061DDA" w:rsidRPr="00166040" w:rsidTr="003C0946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PI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Paesi industrializzati dell’Asia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A" w:rsidRPr="00166040" w:rsidRDefault="00061DDA" w:rsidP="00166040">
            <w:pPr>
              <w:jc w:val="both"/>
              <w:rPr>
                <w:rFonts w:ascii="Times New Roman" w:hAnsi="Times New Roman" w:cs="Times New Roman"/>
              </w:rPr>
            </w:pPr>
            <w:r w:rsidRPr="00166040">
              <w:rPr>
                <w:rFonts w:ascii="Times New Roman" w:hAnsi="Times New Roman" w:cs="Times New Roman"/>
              </w:rPr>
              <w:t xml:space="preserve">Australia, Brunei, Hong Kong, Giappone, Corea del Sud, Macao, Nuova Zelanda, Singapore, Taiwan </w:t>
            </w:r>
          </w:p>
        </w:tc>
      </w:tr>
    </w:tbl>
    <w:p w:rsidR="00061DDA" w:rsidRPr="00166040" w:rsidRDefault="00061DDA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7976DC" w:rsidRPr="00166040" w:rsidRDefault="00061DDA" w:rsidP="00166040">
      <w:pPr>
        <w:jc w:val="both"/>
        <w:rPr>
          <w:rFonts w:ascii="Times New Roman" w:hAnsi="Times New Roman" w:cs="Times New Roman"/>
        </w:rPr>
      </w:pPr>
      <w:proofErr w:type="spellStart"/>
      <w:r w:rsidRPr="00166040">
        <w:rPr>
          <w:rFonts w:ascii="Times New Roman" w:hAnsi="Times New Roman" w:cs="Times New Roman"/>
          <w:b/>
          <w:smallCaps/>
        </w:rPr>
        <w:t>Budgets</w:t>
      </w:r>
      <w:proofErr w:type="spellEnd"/>
      <w:r w:rsidRPr="00166040">
        <w:rPr>
          <w:rFonts w:ascii="Times New Roman" w:hAnsi="Times New Roman" w:cs="Times New Roman"/>
          <w:b/>
          <w:smallCaps/>
        </w:rPr>
        <w:t xml:space="preserve"> differenti seguono regole differenti</w:t>
      </w:r>
    </w:p>
    <w:p w:rsidR="00061DDA" w:rsidRPr="00166040" w:rsidRDefault="007976DC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diversi strumenti finanziari prevedono il raggiungimento di obiettivi specifici che dovranno essere raggiunti nell’arco dei sette anni di durata del Programma Erasmus a livello europeo. Ad esempio lo strumento finanziario </w:t>
      </w:r>
      <w:r w:rsidR="00061DDA" w:rsidRPr="00166040">
        <w:rPr>
          <w:rFonts w:ascii="Times New Roman" w:hAnsi="Times New Roman" w:cs="Times New Roman"/>
          <w:b/>
        </w:rPr>
        <w:t xml:space="preserve">ENI </w:t>
      </w:r>
      <w:r w:rsidR="00061DDA" w:rsidRPr="00166040">
        <w:rPr>
          <w:rFonts w:ascii="Times New Roman" w:hAnsi="Times New Roman" w:cs="Times New Roman"/>
        </w:rPr>
        <w:t xml:space="preserve">Partenariato orientale e </w:t>
      </w:r>
      <w:r w:rsidR="00061DDA" w:rsidRPr="00166040">
        <w:rPr>
          <w:rFonts w:ascii="Times New Roman" w:hAnsi="Times New Roman" w:cs="Times New Roman"/>
          <w:b/>
        </w:rPr>
        <w:t>ENI</w:t>
      </w:r>
      <w:r w:rsidR="00061DDA" w:rsidRPr="00166040">
        <w:rPr>
          <w:rFonts w:ascii="Times New Roman" w:hAnsi="Times New Roman" w:cs="Times New Roman"/>
        </w:rPr>
        <w:t xml:space="preserve"> Mediterraneo meridionale,</w:t>
      </w:r>
      <w:r w:rsidRPr="00166040">
        <w:rPr>
          <w:rFonts w:ascii="Times New Roman" w:hAnsi="Times New Roman" w:cs="Times New Roman"/>
        </w:rPr>
        <w:t xml:space="preserve"> prevede che </w:t>
      </w:r>
      <w:r w:rsidR="00061DDA" w:rsidRPr="00166040">
        <w:rPr>
          <w:rFonts w:ascii="Times New Roman" w:hAnsi="Times New Roman" w:cs="Times New Roman"/>
        </w:rPr>
        <w:t>minimo</w:t>
      </w:r>
      <w:r w:rsidRPr="00166040">
        <w:rPr>
          <w:rFonts w:ascii="Times New Roman" w:hAnsi="Times New Roman" w:cs="Times New Roman"/>
        </w:rPr>
        <w:t xml:space="preserve"> i</w:t>
      </w:r>
      <w:r w:rsidR="00061DDA" w:rsidRPr="00166040">
        <w:rPr>
          <w:rFonts w:ascii="Times New Roman" w:hAnsi="Times New Roman" w:cs="Times New Roman"/>
        </w:rPr>
        <w:t xml:space="preserve">l 90% del budget disponibile deve essere utilizzato per la mobilità in entrata di studenti e staff provenienti da un Paese terzo. Questo vincolo non si applica al </w:t>
      </w:r>
      <w:proofErr w:type="spellStart"/>
      <w:r w:rsidR="00061DDA" w:rsidRPr="00166040">
        <w:rPr>
          <w:rFonts w:ascii="Times New Roman" w:hAnsi="Times New Roman" w:cs="Times New Roman"/>
        </w:rPr>
        <w:t>sottocapitolo</w:t>
      </w:r>
      <w:proofErr w:type="spellEnd"/>
      <w:r w:rsidR="00061DDA" w:rsidRPr="00166040">
        <w:rPr>
          <w:rFonts w:ascii="Times New Roman" w:hAnsi="Times New Roman" w:cs="Times New Roman"/>
        </w:rPr>
        <w:t xml:space="preserve"> relativo alla Russia.</w:t>
      </w:r>
      <w:r w:rsidRPr="00166040">
        <w:rPr>
          <w:rFonts w:ascii="Times New Roman" w:hAnsi="Times New Roman" w:cs="Times New Roman"/>
        </w:rPr>
        <w:t xml:space="preserve"> </w:t>
      </w:r>
    </w:p>
    <w:p w:rsidR="007976DC" w:rsidRPr="00166040" w:rsidRDefault="007976DC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7976DC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</w:t>
      </w:r>
      <w:r w:rsidR="00061DDA" w:rsidRPr="00166040">
        <w:rPr>
          <w:rFonts w:ascii="Times New Roman" w:hAnsi="Times New Roman" w:cs="Times New Roman"/>
        </w:rPr>
        <w:t xml:space="preserve">l budget </w:t>
      </w:r>
      <w:r w:rsidR="00061DDA" w:rsidRPr="00166040">
        <w:rPr>
          <w:rFonts w:ascii="Times New Roman" w:hAnsi="Times New Roman" w:cs="Times New Roman"/>
          <w:b/>
        </w:rPr>
        <w:t>DCI</w:t>
      </w:r>
      <w:r w:rsidRPr="00166040">
        <w:rPr>
          <w:rFonts w:ascii="Times New Roman" w:hAnsi="Times New Roman" w:cs="Times New Roman"/>
        </w:rPr>
        <w:t xml:space="preserve"> può finanziare </w:t>
      </w:r>
      <w:r w:rsidR="00061DDA" w:rsidRPr="00166040">
        <w:rPr>
          <w:rFonts w:ascii="Times New Roman" w:hAnsi="Times New Roman" w:cs="Times New Roman"/>
        </w:rPr>
        <w:t>mobilità in entrata di studenti e staff senza restrizioni, ma non p</w:t>
      </w:r>
      <w:r w:rsidRPr="00166040">
        <w:rPr>
          <w:rFonts w:ascii="Times New Roman" w:hAnsi="Times New Roman" w:cs="Times New Roman"/>
        </w:rPr>
        <w:t>uò finanziar</w:t>
      </w:r>
      <w:r w:rsidR="00061DDA" w:rsidRPr="00166040">
        <w:rPr>
          <w:rFonts w:ascii="Times New Roman" w:hAnsi="Times New Roman" w:cs="Times New Roman"/>
        </w:rPr>
        <w:t xml:space="preserve">e le mobilità in uscita di studenti del primo o secondo ciclo, ma solo </w:t>
      </w:r>
      <w:r w:rsidRPr="00166040">
        <w:rPr>
          <w:rFonts w:ascii="Times New Roman" w:hAnsi="Times New Roman" w:cs="Times New Roman"/>
        </w:rPr>
        <w:t>de</w:t>
      </w:r>
      <w:r w:rsidR="00061DDA" w:rsidRPr="00166040">
        <w:rPr>
          <w:rFonts w:ascii="Times New Roman" w:hAnsi="Times New Roman" w:cs="Times New Roman"/>
        </w:rPr>
        <w:t>gli studenti del III ciclo (dottorandi) o</w:t>
      </w:r>
      <w:r w:rsidRPr="00166040">
        <w:rPr>
          <w:rFonts w:ascii="Times New Roman" w:hAnsi="Times New Roman" w:cs="Times New Roman"/>
        </w:rPr>
        <w:t xml:space="preserve"> dello</w:t>
      </w:r>
      <w:r w:rsidR="00061DDA" w:rsidRPr="00166040">
        <w:rPr>
          <w:rFonts w:ascii="Times New Roman" w:hAnsi="Times New Roman" w:cs="Times New Roman"/>
        </w:rPr>
        <w:t xml:space="preserve"> staff in uscita.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lastRenderedPageBreak/>
        <w:t>Non vi sono restrizioni per la mobilità in entrata</w:t>
      </w:r>
      <w:r w:rsidR="007976DC" w:rsidRPr="00166040">
        <w:rPr>
          <w:rFonts w:ascii="Times New Roman" w:hAnsi="Times New Roman" w:cs="Times New Roman"/>
        </w:rPr>
        <w:t xml:space="preserve"> o</w:t>
      </w:r>
      <w:r w:rsidRPr="00166040">
        <w:rPr>
          <w:rFonts w:ascii="Times New Roman" w:hAnsi="Times New Roman" w:cs="Times New Roman"/>
        </w:rPr>
        <w:t xml:space="preserve"> in uscita nel caso degli strumenti di finanziamento sia IPA che PI.  </w:t>
      </w:r>
    </w:p>
    <w:p w:rsidR="003560BB" w:rsidRPr="00166040" w:rsidRDefault="003560BB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3B0A35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Ai fini della</w:t>
      </w:r>
      <w:r w:rsidR="007976DC" w:rsidRPr="00166040">
        <w:rPr>
          <w:rFonts w:ascii="Times New Roman" w:hAnsi="Times New Roman" w:cs="Times New Roman"/>
        </w:rPr>
        <w:t xml:space="preserve"> presentazione della</w:t>
      </w:r>
      <w:r w:rsidRPr="00166040">
        <w:rPr>
          <w:rFonts w:ascii="Times New Roman" w:hAnsi="Times New Roman" w:cs="Times New Roman"/>
        </w:rPr>
        <w:t xml:space="preserve"> </w:t>
      </w:r>
      <w:r w:rsidR="007976DC" w:rsidRPr="00166040">
        <w:rPr>
          <w:rFonts w:ascii="Times New Roman" w:hAnsi="Times New Roman" w:cs="Times New Roman"/>
        </w:rPr>
        <w:t>candidatura, si specifica che</w:t>
      </w:r>
      <w:r w:rsidRPr="00166040">
        <w:rPr>
          <w:rFonts w:ascii="Times New Roman" w:hAnsi="Times New Roman" w:cs="Times New Roman"/>
        </w:rPr>
        <w:t xml:space="preserve"> non ci sono dei requisiti da rispettare </w:t>
      </w:r>
      <w:r w:rsidR="007976DC" w:rsidRPr="00166040">
        <w:rPr>
          <w:rFonts w:ascii="Times New Roman" w:hAnsi="Times New Roman" w:cs="Times New Roman"/>
        </w:rPr>
        <w:t xml:space="preserve">in merito </w:t>
      </w:r>
      <w:r w:rsidRPr="00166040">
        <w:rPr>
          <w:rFonts w:ascii="Times New Roman" w:hAnsi="Times New Roman" w:cs="Times New Roman"/>
        </w:rPr>
        <w:t xml:space="preserve">al rapporto tra il numero di mobilità staff rispetto al numero di mobilità studenti. Ciò vuol dire che </w:t>
      </w:r>
      <w:r w:rsidR="000D61D1" w:rsidRPr="00166040">
        <w:rPr>
          <w:rFonts w:ascii="Times New Roman" w:hAnsi="Times New Roman" w:cs="Times New Roman"/>
        </w:rPr>
        <w:t xml:space="preserve">gli Istituti di istruzione superiore potranno richiedere </w:t>
      </w:r>
      <w:r w:rsidRPr="00166040">
        <w:rPr>
          <w:rFonts w:ascii="Times New Roman" w:hAnsi="Times New Roman" w:cs="Times New Roman"/>
        </w:rPr>
        <w:t>sia la mobilità per staff che quella p</w:t>
      </w:r>
      <w:r w:rsidR="003560BB" w:rsidRPr="00166040">
        <w:rPr>
          <w:rFonts w:ascii="Times New Roman" w:hAnsi="Times New Roman" w:cs="Times New Roman"/>
        </w:rPr>
        <w:t>er studenti</w:t>
      </w:r>
      <w:r w:rsidRPr="00166040">
        <w:rPr>
          <w:rFonts w:ascii="Times New Roman" w:hAnsi="Times New Roman" w:cs="Times New Roman"/>
        </w:rPr>
        <w:t>,</w:t>
      </w:r>
      <w:r w:rsidR="003560BB" w:rsidRPr="00166040">
        <w:rPr>
          <w:rFonts w:ascii="Times New Roman" w:hAnsi="Times New Roman" w:cs="Times New Roman"/>
        </w:rPr>
        <w:t xml:space="preserve"> </w:t>
      </w:r>
      <w:r w:rsidR="000D61D1" w:rsidRPr="00166040">
        <w:rPr>
          <w:rFonts w:ascii="Times New Roman" w:hAnsi="Times New Roman" w:cs="Times New Roman"/>
        </w:rPr>
        <w:t xml:space="preserve">o </w:t>
      </w:r>
      <w:r w:rsidRPr="00166040">
        <w:rPr>
          <w:rFonts w:ascii="Times New Roman" w:hAnsi="Times New Roman" w:cs="Times New Roman"/>
        </w:rPr>
        <w:t>solo</w:t>
      </w:r>
      <w:r w:rsidR="00061DDA" w:rsidRPr="00166040">
        <w:rPr>
          <w:rFonts w:ascii="Times New Roman" w:hAnsi="Times New Roman" w:cs="Times New Roman"/>
        </w:rPr>
        <w:t xml:space="preserve"> mobilità dello staff </w:t>
      </w:r>
      <w:r w:rsidRPr="00166040">
        <w:rPr>
          <w:rFonts w:ascii="Times New Roman" w:hAnsi="Times New Roman" w:cs="Times New Roman"/>
        </w:rPr>
        <w:t xml:space="preserve">o solo </w:t>
      </w:r>
      <w:r w:rsidR="00061DDA" w:rsidRPr="00166040">
        <w:rPr>
          <w:rFonts w:ascii="Times New Roman" w:hAnsi="Times New Roman" w:cs="Times New Roman"/>
        </w:rPr>
        <w:t>mobilità degli studenti</w:t>
      </w:r>
      <w:r w:rsidRPr="00166040">
        <w:rPr>
          <w:rFonts w:ascii="Times New Roman" w:hAnsi="Times New Roman" w:cs="Times New Roman"/>
        </w:rPr>
        <w:t>.</w:t>
      </w:r>
    </w:p>
    <w:p w:rsidR="003B0A35" w:rsidRPr="00B72652" w:rsidRDefault="003B0A35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Tuttavia, soprattutto nel caso di </w:t>
      </w:r>
      <w:r w:rsidRPr="000D332E">
        <w:rPr>
          <w:rFonts w:ascii="Times New Roman" w:hAnsi="Times New Roman" w:cs="Times New Roman"/>
        </w:rPr>
        <w:t xml:space="preserve">mobilità da e verso </w:t>
      </w:r>
      <w:r w:rsidR="00FD5609">
        <w:rPr>
          <w:rFonts w:ascii="Times New Roman" w:hAnsi="Times New Roman" w:cs="Times New Roman"/>
        </w:rPr>
        <w:t>un Istituto</w:t>
      </w:r>
      <w:r w:rsidRPr="000D332E">
        <w:rPr>
          <w:rFonts w:ascii="Times New Roman" w:hAnsi="Times New Roman" w:cs="Times New Roman"/>
        </w:rPr>
        <w:t xml:space="preserve"> </w:t>
      </w:r>
      <w:r w:rsidR="000F4185">
        <w:rPr>
          <w:rFonts w:ascii="Times New Roman" w:hAnsi="Times New Roman" w:cs="Times New Roman"/>
        </w:rPr>
        <w:t>in un Paese Partner</w:t>
      </w:r>
      <w:bookmarkStart w:id="0" w:name="_GoBack"/>
      <w:bookmarkEnd w:id="0"/>
      <w:r w:rsidR="00FD5609">
        <w:rPr>
          <w:rFonts w:ascii="Times New Roman" w:hAnsi="Times New Roman" w:cs="Times New Roman"/>
        </w:rPr>
        <w:t xml:space="preserve"> con il quale si attiva una cooperazione per la prima volta,</w:t>
      </w:r>
      <w:r w:rsidRPr="000F4185">
        <w:rPr>
          <w:rFonts w:ascii="Times New Roman" w:hAnsi="Times New Roman" w:cs="Times New Roman"/>
        </w:rPr>
        <w:t xml:space="preserve"> </w:t>
      </w:r>
      <w:r w:rsidRPr="00B72652">
        <w:rPr>
          <w:rFonts w:ascii="Times New Roman" w:hAnsi="Times New Roman" w:cs="Times New Roman"/>
          <w:u w:val="single"/>
        </w:rPr>
        <w:t>si suggerisce di prevedere soprattutto mobilità dello staff, almeno nella fase iniziale di cooperazione</w:t>
      </w:r>
      <w:r w:rsidRPr="00B72652">
        <w:rPr>
          <w:rFonts w:ascii="Times New Roman" w:hAnsi="Times New Roman" w:cs="Times New Roman"/>
        </w:rPr>
        <w:t>.</w:t>
      </w:r>
    </w:p>
    <w:p w:rsidR="00166040" w:rsidRDefault="00166040" w:rsidP="00166040">
      <w:pPr>
        <w:spacing w:before="240"/>
        <w:jc w:val="both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spacing w:before="240"/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 xml:space="preserve">Principali Criteri di valutazione </w:t>
      </w:r>
      <w:r w:rsidR="007976DC" w:rsidRPr="00166040">
        <w:rPr>
          <w:rFonts w:ascii="Times New Roman" w:hAnsi="Times New Roman" w:cs="Times New Roman"/>
          <w:b/>
          <w:smallCaps/>
        </w:rPr>
        <w:t>qualitativa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Vi sono 4 principali criteri di valutazione per la mobilità internazionale:</w:t>
      </w: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Pertinenza della strategia: </w:t>
      </w:r>
      <w:r w:rsidRPr="00166040">
        <w:rPr>
          <w:rFonts w:ascii="Times New Roman" w:hAnsi="Times New Roman" w:cs="Times New Roman"/>
        </w:rPr>
        <w:tab/>
      </w:r>
    </w:p>
    <w:p w:rsidR="00061DDA" w:rsidRPr="00166040" w:rsidRDefault="00061DDA" w:rsidP="00166040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 candidati devono spiegare le ragioni per cui il progetto di mobilità pianificato è pertinente rispetto alla strategia di internazionalizzazione degli Istituti di Istruzione Superiore dei Paesi partecipanti al Programma e degli Istituti di Istruzione Superiore de</w:t>
      </w:r>
      <w:r w:rsidR="00B72652">
        <w:rPr>
          <w:rFonts w:ascii="Times New Roman" w:hAnsi="Times New Roman" w:cs="Times New Roman"/>
        </w:rPr>
        <w:t>i Paesi Partner coinvolti, nonché</w:t>
      </w:r>
      <w:r w:rsidRPr="00166040">
        <w:rPr>
          <w:rFonts w:ascii="Times New Roman" w:hAnsi="Times New Roman" w:cs="Times New Roman"/>
        </w:rPr>
        <w:t xml:space="preserve"> giustificare i(l) tipi(o) di mobilità proposti(o) (studenti e/o staff) in entrata e/o in uscita.</w:t>
      </w: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Qualità degli accordi di cooperazione</w:t>
      </w:r>
      <w:r w:rsidRPr="00166040">
        <w:rPr>
          <w:rFonts w:ascii="Times New Roman" w:hAnsi="Times New Roman" w:cs="Times New Roman"/>
        </w:rPr>
        <w:tab/>
      </w:r>
    </w:p>
    <w:p w:rsidR="00061DDA" w:rsidRPr="00166040" w:rsidRDefault="00061DDA" w:rsidP="00166040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Lì dove presente, i candidati devono dar conto della loro precedente esperienza di gestione di analoghi progetti con Istituti di Istruzione Superiore nel Paese Partner, e spiegare in quale modo, con riferimento al progetto di mobilità pianificato, responsabilità, ruoli e compiti saranno definiti nell’Accordo </w:t>
      </w:r>
      <w:proofErr w:type="spellStart"/>
      <w:r w:rsidRPr="00166040">
        <w:rPr>
          <w:rFonts w:ascii="Times New Roman" w:hAnsi="Times New Roman" w:cs="Times New Roman"/>
        </w:rPr>
        <w:t>Interistituzionale</w:t>
      </w:r>
      <w:proofErr w:type="spellEnd"/>
      <w:r w:rsidRPr="00166040">
        <w:rPr>
          <w:rFonts w:ascii="Times New Roman" w:hAnsi="Times New Roman" w:cs="Times New Roman"/>
        </w:rPr>
        <w:t>.</w:t>
      </w: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Qualità dell’elaborazione e dell’attuazione del progetto</w:t>
      </w:r>
    </w:p>
    <w:p w:rsidR="00061DDA" w:rsidRPr="00166040" w:rsidRDefault="00061DDA" w:rsidP="00166040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 candidati devono illustrare le diverse fasi del progetto di mobilità e riassumere ciò che le organizzazioni partner intendono porre in essere dal punto di vista della selezione dei partecipanti, del tipo di supporto che sarà loro offerto e del riconoscimento dei periodi di mobilità (in particolare nel Paese Partner).</w:t>
      </w: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Impatto e disseminazione</w:t>
      </w:r>
    </w:p>
    <w:p w:rsidR="00061DDA" w:rsidRPr="00166040" w:rsidRDefault="00061DDA" w:rsidP="00166040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candidati devono giustificare l’impatto atteso del progetto di mobilità sui partecipanti, sui beneficiari, e sulle organizzazioni partner, a livello locale, regionale e nazionale. Devono altresì descrivere le misure che verranno poste in essere per disseminare i risultati del progetto di mobilità a livello di facoltà e di istituzione - ed anche oltre, lì dove applicabile - sia nei Paesi partecipanti al Programma che in quelli Partner. </w:t>
      </w:r>
    </w:p>
    <w:p w:rsidR="00061DDA" w:rsidRPr="00166040" w:rsidRDefault="00061DDA" w:rsidP="00166040">
      <w:pPr>
        <w:spacing w:before="240"/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 xml:space="preserve">Numero stimato di mobilità per </w:t>
      </w:r>
      <w:proofErr w:type="spellStart"/>
      <w:r w:rsidRPr="00166040">
        <w:rPr>
          <w:rFonts w:ascii="Times New Roman" w:hAnsi="Times New Roman" w:cs="Times New Roman"/>
          <w:b/>
          <w:smallCaps/>
        </w:rPr>
        <w:t>sottocapitolo</w:t>
      </w:r>
      <w:proofErr w:type="spellEnd"/>
      <w:r w:rsidRPr="00166040">
        <w:rPr>
          <w:rFonts w:ascii="Times New Roman" w:hAnsi="Times New Roman" w:cs="Times New Roman"/>
          <w:b/>
          <w:smallCaps/>
        </w:rPr>
        <w:t xml:space="preserve"> di budget</w:t>
      </w:r>
    </w:p>
    <w:p w:rsidR="00061DDA" w:rsidRPr="00166040" w:rsidRDefault="00061DDA" w:rsidP="00166040">
      <w:pPr>
        <w:spacing w:before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lastRenderedPageBreak/>
        <w:t xml:space="preserve">Si comunica qui di seguito il budget disponibile per l’Italia, secondo i 4 strumenti finanziari e i relativi </w:t>
      </w:r>
      <w:proofErr w:type="spellStart"/>
      <w:r w:rsidRPr="00166040">
        <w:rPr>
          <w:rFonts w:ascii="Times New Roman" w:hAnsi="Times New Roman" w:cs="Times New Roman"/>
        </w:rPr>
        <w:t>sottocapitoli</w:t>
      </w:r>
      <w:proofErr w:type="spellEnd"/>
      <w:r w:rsidRPr="00166040">
        <w:rPr>
          <w:rFonts w:ascii="Times New Roman" w:hAnsi="Times New Roman" w:cs="Times New Roman"/>
        </w:rPr>
        <w:t>, nonché il numero approssimativo di mobilità (sia in entrata che in uscita) che tali quota consentiranno di finanziare a livello nazionale per l’</w:t>
      </w:r>
      <w:proofErr w:type="spellStart"/>
      <w:r w:rsidRPr="00166040">
        <w:rPr>
          <w:rFonts w:ascii="Times New Roman" w:hAnsi="Times New Roman" w:cs="Times New Roman"/>
        </w:rPr>
        <w:t>a.a</w:t>
      </w:r>
      <w:proofErr w:type="spellEnd"/>
      <w:r w:rsidRPr="00166040">
        <w:rPr>
          <w:rFonts w:ascii="Times New Roman" w:hAnsi="Times New Roman" w:cs="Times New Roman"/>
        </w:rPr>
        <w:t>. 2015/2016.</w:t>
      </w:r>
    </w:p>
    <w:p w:rsidR="00061DDA" w:rsidRPr="00166040" w:rsidRDefault="00061DDA" w:rsidP="00166040">
      <w:pPr>
        <w:spacing w:before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Si specifica che tale numero di mobilità è frutto di un calcolo basato sul costo medio di una mobilità staff e studenti.</w:t>
      </w:r>
    </w:p>
    <w:p w:rsidR="00061DDA" w:rsidRPr="00166040" w:rsidRDefault="00061DDA" w:rsidP="00166040">
      <w:pPr>
        <w:spacing w:before="240"/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</w:rPr>
        <w:t xml:space="preserve">I </w:t>
      </w:r>
      <w:proofErr w:type="spellStart"/>
      <w:r w:rsidRPr="00166040">
        <w:rPr>
          <w:rFonts w:ascii="Times New Roman" w:hAnsi="Times New Roman" w:cs="Times New Roman"/>
        </w:rPr>
        <w:t>budgets</w:t>
      </w:r>
      <w:proofErr w:type="spellEnd"/>
      <w:r w:rsidRPr="00166040">
        <w:rPr>
          <w:rFonts w:ascii="Times New Roman" w:hAnsi="Times New Roman" w:cs="Times New Roman"/>
        </w:rPr>
        <w:t xml:space="preserve"> distinti per </w:t>
      </w:r>
      <w:proofErr w:type="spellStart"/>
      <w:r w:rsidRPr="00166040">
        <w:rPr>
          <w:rFonts w:ascii="Times New Roman" w:hAnsi="Times New Roman" w:cs="Times New Roman"/>
        </w:rPr>
        <w:t>sottocapitoli</w:t>
      </w:r>
      <w:proofErr w:type="spellEnd"/>
      <w:r w:rsidRPr="00166040">
        <w:rPr>
          <w:rFonts w:ascii="Times New Roman" w:hAnsi="Times New Roman" w:cs="Times New Roman"/>
          <w:i/>
        </w:rPr>
        <w:t xml:space="preserve"> </w:t>
      </w:r>
      <w:r w:rsidRPr="00166040">
        <w:rPr>
          <w:rFonts w:ascii="Times New Roman" w:hAnsi="Times New Roman" w:cs="Times New Roman"/>
        </w:rPr>
        <w:t xml:space="preserve">sono specificati nel foglio </w:t>
      </w:r>
      <w:proofErr w:type="spellStart"/>
      <w:r w:rsidRPr="00166040">
        <w:rPr>
          <w:rFonts w:ascii="Times New Roman" w:hAnsi="Times New Roman" w:cs="Times New Roman"/>
        </w:rPr>
        <w:t>excel</w:t>
      </w:r>
      <w:proofErr w:type="spellEnd"/>
      <w:r w:rsidRPr="00166040">
        <w:rPr>
          <w:rFonts w:ascii="Times New Roman" w:hAnsi="Times New Roman" w:cs="Times New Roman"/>
        </w:rPr>
        <w:t xml:space="preserve"> che accompagna questo documento, assieme al metodo di calcolo utilizzato per indicare il numero approssimativo delle mobilità.  </w:t>
      </w:r>
    </w:p>
    <w:p w:rsidR="002A1E0E" w:rsidRPr="00166040" w:rsidRDefault="002A1E0E" w:rsidP="00166040">
      <w:pPr>
        <w:jc w:val="both"/>
        <w:rPr>
          <w:rFonts w:ascii="Times New Roman" w:hAnsi="Times New Roman" w:cs="Times New Roman"/>
        </w:rPr>
      </w:pPr>
    </w:p>
    <w:sectPr w:rsidR="002A1E0E" w:rsidRPr="00166040" w:rsidSect="002A1E0E">
      <w:headerReference w:type="default" r:id="rId22"/>
      <w:footerReference w:type="default" r:id="rId23"/>
      <w:pgSz w:w="11900" w:h="16840"/>
      <w:pgMar w:top="2246" w:right="1134" w:bottom="198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46" w:rsidRDefault="00672DAE">
      <w:r>
        <w:separator/>
      </w:r>
    </w:p>
  </w:endnote>
  <w:endnote w:type="continuationSeparator" w:id="0">
    <w:p w:rsidR="00B13146" w:rsidRDefault="006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02" w:rsidRDefault="00672DA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-250190</wp:posOffset>
              </wp:positionV>
              <wp:extent cx="5063490" cy="685800"/>
              <wp:effectExtent l="381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ED6" w:rsidRPr="009B2402" w:rsidRDefault="009B2402" w:rsidP="006D03C6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</w:pPr>
                          <w:r w:rsidRPr="009B2402"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  <w:t>Agenzia Nazionale Erasmus+ Indire</w:t>
                          </w:r>
                          <w:r w:rsidR="004B2ED6"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- </w:t>
                          </w:r>
                          <w:r w:rsidR="004B2ED6" w:rsidRPr="004B2ED6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>www.erasmusplus.it</w:t>
                          </w:r>
                          <w:r w:rsidR="004B2ED6"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</w:t>
                          </w:r>
                        </w:p>
                        <w:p w:rsidR="009B2402" w:rsidRPr="009B2402" w:rsidRDefault="009B2402" w:rsidP="006D03C6">
                          <w:pPr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</w:pPr>
                          <w:r w:rsidRPr="009B2402"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  <w:t>Sede legale:</w:t>
                          </w:r>
                          <w:r w:rsidR="00672DAE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Via Michelangiolo</w:t>
                          </w:r>
                          <w:r w:rsidRPr="009B2402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Buonarroti 10 – 50122 Firenze - E-mail erasmusplus@indire.it</w:t>
                          </w:r>
                        </w:p>
                        <w:p w:rsidR="009B2402" w:rsidRPr="009B2402" w:rsidRDefault="009B2402" w:rsidP="006D03C6">
                          <w:pPr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</w:pPr>
                          <w:r w:rsidRPr="009B2402"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  <w:t>Sede operativa Firenze:</w:t>
                          </w:r>
                          <w:r w:rsidRPr="009B2402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Via C</w:t>
                          </w:r>
                          <w:r w:rsidR="00672DAE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>esare</w:t>
                          </w:r>
                          <w:r w:rsidRPr="009B2402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Lombroso 6/15 – 50134 Firenze - Tel +39 055 2380 348 - Fax +39 055 2380 399/343</w:t>
                          </w:r>
                        </w:p>
                        <w:p w:rsidR="009B2402" w:rsidRPr="009B2402" w:rsidRDefault="009B2402" w:rsidP="006D03C6">
                          <w:pPr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</w:pPr>
                          <w:r w:rsidRPr="009B2402">
                            <w:rPr>
                              <w:rFonts w:ascii="Arial Narrow" w:hAnsi="Arial Narrow" w:cs="Arial"/>
                              <w:b/>
                              <w:bCs/>
                              <w:color w:val="111B26"/>
                              <w:sz w:val="16"/>
                              <w:szCs w:val="14"/>
                            </w:rPr>
                            <w:t>Sede operativa Roma:</w:t>
                          </w:r>
                          <w:r w:rsidRPr="009B2402">
                            <w:rPr>
                              <w:rFonts w:ascii="Arial Narrow" w:hAnsi="Arial Narrow" w:cs="Arial"/>
                              <w:bCs/>
                              <w:color w:val="111B26"/>
                              <w:sz w:val="16"/>
                              <w:szCs w:val="14"/>
                            </w:rPr>
                            <w:t xml:space="preserve"> Via Guidubaldo del Monte 54 - 00197 Roma - Tel +39 06 54210483 - Fax +39 06 54210479</w:t>
                          </w:r>
                        </w:p>
                        <w:p w:rsidR="009B2402" w:rsidRPr="0016408E" w:rsidRDefault="009B2402" w:rsidP="006D03C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7pt;margin-top:-19.7pt;width:398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" filled="f" stroked="f">
              <v:textbox inset=",7.2pt,,7.2pt">
                <w:txbxContent>
                  <w:p w:rsidR="004B2ED6" w:rsidRPr="009B2402" w:rsidRDefault="009B2402" w:rsidP="006D03C6">
                    <w:pPr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</w:pPr>
                    <w:r w:rsidRPr="009B2402"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  <w:t>Agenzia Nazionale Erasmus+ Indire</w:t>
                    </w:r>
                    <w:r w:rsidR="004B2ED6"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  <w:t xml:space="preserve"> - </w:t>
                    </w:r>
                    <w:r w:rsidR="004B2ED6" w:rsidRPr="004B2ED6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>www.erasmusplus.it</w:t>
                    </w:r>
                    <w:r w:rsidR="004B2ED6"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  <w:t xml:space="preserve"> </w:t>
                    </w:r>
                  </w:p>
                  <w:p w:rsidR="009B2402" w:rsidRPr="009B2402" w:rsidRDefault="009B2402" w:rsidP="006D03C6">
                    <w:pPr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</w:pPr>
                    <w:r w:rsidRPr="009B2402"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  <w:t>Sede legale:</w:t>
                    </w:r>
                    <w:r w:rsidR="00672DAE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 xml:space="preserve"> Via Michelangiolo</w:t>
                    </w:r>
                    <w:r w:rsidRPr="009B2402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 xml:space="preserve"> Buonarroti 10 – 50122 Firenze - E-mail erasmusplus@indire.it</w:t>
                    </w:r>
                  </w:p>
                  <w:p w:rsidR="009B2402" w:rsidRPr="009B2402" w:rsidRDefault="009B2402" w:rsidP="006D03C6">
                    <w:pPr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</w:pPr>
                    <w:r w:rsidRPr="009B2402"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  <w:t>Sede operativa Firenze:</w:t>
                    </w:r>
                    <w:r w:rsidRPr="009B2402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 xml:space="preserve"> Via C</w:t>
                    </w:r>
                    <w:r w:rsidR="00672DAE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>esare</w:t>
                    </w:r>
                    <w:r w:rsidRPr="009B2402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 xml:space="preserve"> Lombroso 6/15 – 50134 Firenze - Tel +39 055 2380 348 - Fax +39 055 2380 399/343</w:t>
                    </w:r>
                  </w:p>
                  <w:p w:rsidR="009B2402" w:rsidRPr="009B2402" w:rsidRDefault="009B2402" w:rsidP="006D03C6">
                    <w:pPr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</w:pPr>
                    <w:r w:rsidRPr="009B2402">
                      <w:rPr>
                        <w:rFonts w:ascii="Arial Narrow" w:hAnsi="Arial Narrow" w:cs="Arial"/>
                        <w:b/>
                        <w:bCs/>
                        <w:color w:val="111B26"/>
                        <w:sz w:val="16"/>
                        <w:szCs w:val="14"/>
                      </w:rPr>
                      <w:t>Sede operativa Roma:</w:t>
                    </w:r>
                    <w:r w:rsidRPr="009B2402">
                      <w:rPr>
                        <w:rFonts w:ascii="Arial Narrow" w:hAnsi="Arial Narrow" w:cs="Arial"/>
                        <w:bCs/>
                        <w:color w:val="111B26"/>
                        <w:sz w:val="16"/>
                        <w:szCs w:val="14"/>
                      </w:rPr>
                      <w:t xml:space="preserve"> Via Guidubaldo del Monte 54 - 00197 Roma - Tel +39 06 54210483 - Fax +39 06 54210479</w:t>
                    </w:r>
                  </w:p>
                  <w:p w:rsidR="009B2402" w:rsidRPr="0016408E" w:rsidRDefault="009B2402" w:rsidP="006D03C6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9B2402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-705485</wp:posOffset>
          </wp:positionV>
          <wp:extent cx="7560310" cy="1333500"/>
          <wp:effectExtent l="25400" t="0" r="8890" b="0"/>
          <wp:wrapNone/>
          <wp:docPr id="15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46" w:rsidRDefault="00672DAE">
      <w:r>
        <w:separator/>
      </w:r>
    </w:p>
  </w:footnote>
  <w:footnote w:type="continuationSeparator" w:id="0">
    <w:p w:rsidR="00B13146" w:rsidRDefault="00672DAE">
      <w:r>
        <w:continuationSeparator/>
      </w:r>
    </w:p>
  </w:footnote>
  <w:footnote w:id="1">
    <w:p w:rsidR="00061DDA" w:rsidRPr="00D204C9" w:rsidRDefault="00061DDA" w:rsidP="00061DD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204C9">
        <w:rPr>
          <w:lang w:val="it-IT"/>
        </w:rPr>
        <w:t xml:space="preserve"> </w:t>
      </w:r>
      <w:r w:rsidRPr="00EC2564">
        <w:rPr>
          <w:szCs w:val="24"/>
          <w:lang w:val="it-IT"/>
        </w:rPr>
        <w:t xml:space="preserve">Il </w:t>
      </w:r>
      <w:proofErr w:type="spellStart"/>
      <w:r w:rsidRPr="00EC2564">
        <w:rPr>
          <w:szCs w:val="24"/>
          <w:lang w:val="it-IT"/>
        </w:rPr>
        <w:t>sottocapitolo</w:t>
      </w:r>
      <w:proofErr w:type="spellEnd"/>
      <w:r w:rsidRPr="00EC2564">
        <w:rPr>
          <w:szCs w:val="24"/>
          <w:lang w:val="it-IT"/>
        </w:rPr>
        <w:t xml:space="preserve"> di bilancio per la mobilità totale per la Russia ricomprende fondi provenienti dagli strumenti</w:t>
      </w:r>
      <w:r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 xml:space="preserve">ENI e PI. Al fine di facilitare la consultazione, sono stati raggruppati tutti all’interno del </w:t>
      </w:r>
      <w:proofErr w:type="spellStart"/>
      <w:r w:rsidRPr="00EC2564">
        <w:rPr>
          <w:szCs w:val="24"/>
          <w:lang w:val="it-IT"/>
        </w:rPr>
        <w:t>sottocapitolo</w:t>
      </w:r>
      <w:proofErr w:type="spellEnd"/>
      <w:r w:rsidRPr="00EC2564">
        <w:rPr>
          <w:szCs w:val="24"/>
          <w:lang w:val="it-IT"/>
        </w:rPr>
        <w:t xml:space="preserve"> 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02" w:rsidRDefault="009B24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675" cy="1422400"/>
          <wp:effectExtent l="25400" t="0" r="9525" b="0"/>
          <wp:wrapNone/>
          <wp:docPr id="14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E37"/>
    <w:multiLevelType w:val="hybridMultilevel"/>
    <w:tmpl w:val="D5501BD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32EC"/>
    <w:multiLevelType w:val="hybridMultilevel"/>
    <w:tmpl w:val="A818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6"/>
    <w:rsid w:val="000351B7"/>
    <w:rsid w:val="00061DDA"/>
    <w:rsid w:val="000D332E"/>
    <w:rsid w:val="000D61D1"/>
    <w:rsid w:val="000F4185"/>
    <w:rsid w:val="00166040"/>
    <w:rsid w:val="001911DA"/>
    <w:rsid w:val="002A1E0E"/>
    <w:rsid w:val="003560BB"/>
    <w:rsid w:val="0036081E"/>
    <w:rsid w:val="003B0A35"/>
    <w:rsid w:val="004B2ED6"/>
    <w:rsid w:val="004E1763"/>
    <w:rsid w:val="00540256"/>
    <w:rsid w:val="00672DAE"/>
    <w:rsid w:val="006B7118"/>
    <w:rsid w:val="006D03C6"/>
    <w:rsid w:val="007976DC"/>
    <w:rsid w:val="008144C5"/>
    <w:rsid w:val="008B4DAD"/>
    <w:rsid w:val="009B2402"/>
    <w:rsid w:val="00B13146"/>
    <w:rsid w:val="00B72652"/>
    <w:rsid w:val="00BC255C"/>
    <w:rsid w:val="00FB27E6"/>
    <w:rsid w:val="00FD5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AF38AFF-DA0E-469C-98FC-8B5BF3B7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C6"/>
  </w:style>
  <w:style w:type="paragraph" w:styleId="Pidipagina">
    <w:name w:val="footer"/>
    <w:basedOn w:val="Normale"/>
    <w:link w:val="PidipaginaCarattere"/>
    <w:unhideWhenUsed/>
    <w:rsid w:val="006D0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03C6"/>
  </w:style>
  <w:style w:type="character" w:styleId="Collegamentoipertestuale">
    <w:name w:val="Hyperlink"/>
    <w:basedOn w:val="Carpredefinitoparagrafo"/>
    <w:uiPriority w:val="99"/>
    <w:unhideWhenUsed/>
    <w:rsid w:val="004B2ED6"/>
    <w:rPr>
      <w:color w:val="0000FF" w:themeColor="hyperlink"/>
      <w:u w:val="single"/>
    </w:rPr>
  </w:style>
  <w:style w:type="paragraph" w:styleId="Corpodeltesto2">
    <w:name w:val="Body Text 2"/>
    <w:aliases w:val="Guide Text"/>
    <w:basedOn w:val="Normale"/>
    <w:link w:val="Corpodeltesto2Carattere"/>
    <w:uiPriority w:val="99"/>
    <w:rsid w:val="00061DDA"/>
    <w:pPr>
      <w:spacing w:after="120" w:line="48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orpodeltesto2Carattere">
    <w:name w:val="Corpo del testo 2 Carattere"/>
    <w:aliases w:val="Guide Text Carattere"/>
    <w:basedOn w:val="Carpredefinitoparagrafo"/>
    <w:link w:val="Corpodeltesto2"/>
    <w:uiPriority w:val="99"/>
    <w:rsid w:val="00061DDA"/>
    <w:rPr>
      <w:rFonts w:ascii="Times New Roman" w:eastAsia="Times New Roman" w:hAnsi="Times New Roman" w:cs="Times New Roman"/>
      <w:szCs w:val="20"/>
      <w:lang w:val="en-GB"/>
    </w:rPr>
  </w:style>
  <w:style w:type="paragraph" w:styleId="Testonotaapidipagina">
    <w:name w:val="footnote text"/>
    <w:basedOn w:val="Normale"/>
    <w:link w:val="TestonotaapidipaginaCarattere"/>
    <w:semiHidden/>
    <w:rsid w:val="00061DDA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1D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uide-Heading5">
    <w:name w:val="Guide - Heading 5"/>
    <w:basedOn w:val="Normale"/>
    <w:rsid w:val="00061DDA"/>
    <w:pPr>
      <w:keepNext/>
      <w:suppressAutoHyphens/>
      <w:autoSpaceDN w:val="0"/>
      <w:spacing w:before="200" w:after="200"/>
      <w:textAlignment w:val="baseline"/>
      <w:outlineLvl w:val="0"/>
    </w:pPr>
    <w:rPr>
      <w:rFonts w:ascii="Tahoma" w:eastAsia="Times New Roman" w:hAnsi="Tahoma" w:cs="Tahoma"/>
      <w:b/>
      <w:smallCaps/>
      <w:kern w:val="3"/>
      <w:sz w:val="22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1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where/latin-america/country-cooperation/bolivia/bolivia_en.htm" TargetMode="External"/><Relationship Id="rId13" Type="http://schemas.openxmlformats.org/officeDocument/2006/relationships/hyperlink" Target="http://ec.europa.eu/europeaid/where/latin-america/country-cooperation/el-salvador/el-salvador_en.htm" TargetMode="External"/><Relationship Id="rId18" Type="http://schemas.openxmlformats.org/officeDocument/2006/relationships/hyperlink" Target="http://ec.europa.eu/europeaid/where/latin-america/country-cooperation/panama/panama_e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europeaid/where/latin-america/country-cooperation/venezuela/venezuela_en.htm" TargetMode="External"/><Relationship Id="rId7" Type="http://schemas.openxmlformats.org/officeDocument/2006/relationships/hyperlink" Target="http://ec.europa.eu/europeaid/where/latin-america/country-cooperation/argentina/argentina_en.htm" TargetMode="External"/><Relationship Id="rId12" Type="http://schemas.openxmlformats.org/officeDocument/2006/relationships/hyperlink" Target="http://ec.europa.eu/europeaid/where/latin-america/country-cooperation/costa-rica/costa-rica_en.htm" TargetMode="External"/><Relationship Id="rId17" Type="http://schemas.openxmlformats.org/officeDocument/2006/relationships/hyperlink" Target="http://ec.europa.eu/europeaid/where/latin-america/country-cooperation/nicaragua/nicaragua_en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.europa.eu/europeaid/where/latin-america/country-cooperation/mexico/mexico_en.htm" TargetMode="External"/><Relationship Id="rId20" Type="http://schemas.openxmlformats.org/officeDocument/2006/relationships/hyperlink" Target="http://ec.europa.eu/europeaid/where/latin-america/country-cooperation/uruguay/uruguay_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peaid/where/latin-america/country-cooperation/colombia/colombia_en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.europa.eu/europeaid/where/latin-america/country-cooperation/honduras/honduras_en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.europa.eu/europeaid/where/latin-america/country-cooperation/chile/chile_en.htm" TargetMode="External"/><Relationship Id="rId19" Type="http://schemas.openxmlformats.org/officeDocument/2006/relationships/hyperlink" Target="http://ec.europa.eu/europeaid/where/latin-america/country-cooperation/paraguay/paraguay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peaid/where/latin-america/country-cooperation/brazil/brazil_en.htm" TargetMode="External"/><Relationship Id="rId14" Type="http://schemas.openxmlformats.org/officeDocument/2006/relationships/hyperlink" Target="http://ec.europa.eu/europeaid/where/latin-america/country-cooperation/guatemala/guatemala_en.ht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ansas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Venturi</dc:creator>
  <cp:lastModifiedBy>Claudia Peritore</cp:lastModifiedBy>
  <cp:revision>11</cp:revision>
  <cp:lastPrinted>2014-02-04T14:35:00Z</cp:lastPrinted>
  <dcterms:created xsi:type="dcterms:W3CDTF">2014-11-27T14:38:00Z</dcterms:created>
  <dcterms:modified xsi:type="dcterms:W3CDTF">2014-11-28T09:22:00Z</dcterms:modified>
</cp:coreProperties>
</file>