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DA" w:rsidRPr="00166040" w:rsidRDefault="00061DDA" w:rsidP="00166040">
      <w:pPr>
        <w:jc w:val="center"/>
        <w:rPr>
          <w:rFonts w:ascii="Times New Roman" w:hAnsi="Times New Roman" w:cs="Times New Roman"/>
          <w:b/>
          <w:smallCaps/>
        </w:rPr>
      </w:pPr>
      <w:r w:rsidRPr="00166040">
        <w:rPr>
          <w:rFonts w:ascii="Times New Roman" w:hAnsi="Times New Roman" w:cs="Times New Roman"/>
          <w:b/>
          <w:smallCaps/>
        </w:rPr>
        <w:t>ERASMUS+</w:t>
      </w:r>
    </w:p>
    <w:p w:rsidR="00061DDA" w:rsidRPr="00166040" w:rsidRDefault="00061DDA" w:rsidP="00166040">
      <w:pPr>
        <w:jc w:val="center"/>
        <w:rPr>
          <w:rFonts w:ascii="Times New Roman" w:hAnsi="Times New Roman" w:cs="Times New Roman"/>
          <w:b/>
          <w:smallCaps/>
        </w:rPr>
      </w:pPr>
      <w:r w:rsidRPr="00166040">
        <w:rPr>
          <w:rFonts w:ascii="Times New Roman" w:hAnsi="Times New Roman" w:cs="Times New Roman"/>
          <w:b/>
          <w:smallCaps/>
        </w:rPr>
        <w:t>AZIONE CHIAVE 1 – INTERNATIONAL CREDIT MOBILITY</w:t>
      </w:r>
    </w:p>
    <w:p w:rsidR="00061DDA" w:rsidRPr="00166040" w:rsidRDefault="00061DDA" w:rsidP="00166040">
      <w:pPr>
        <w:jc w:val="center"/>
        <w:rPr>
          <w:rFonts w:ascii="Times New Roman" w:hAnsi="Times New Roman" w:cs="Times New Roman"/>
          <w:b/>
          <w:smallCaps/>
        </w:rPr>
      </w:pPr>
      <w:r w:rsidRPr="00166040">
        <w:rPr>
          <w:rFonts w:ascii="Times New Roman" w:hAnsi="Times New Roman" w:cs="Times New Roman"/>
          <w:b/>
          <w:smallCaps/>
        </w:rPr>
        <w:t>SETTORE ISTRUZIONE SUPERIORE</w:t>
      </w:r>
    </w:p>
    <w:p w:rsidR="00061DDA" w:rsidRPr="00166040" w:rsidRDefault="00061DDA" w:rsidP="00166040">
      <w:pPr>
        <w:jc w:val="center"/>
        <w:rPr>
          <w:rFonts w:ascii="Times New Roman" w:hAnsi="Times New Roman" w:cs="Times New Roman"/>
          <w:b/>
          <w:smallCaps/>
        </w:rPr>
      </w:pPr>
    </w:p>
    <w:p w:rsidR="00061DDA" w:rsidRPr="00166040" w:rsidRDefault="00061DDA" w:rsidP="00166040">
      <w:pPr>
        <w:jc w:val="center"/>
        <w:rPr>
          <w:rFonts w:ascii="Times New Roman" w:hAnsi="Times New Roman" w:cs="Times New Roman"/>
          <w:b/>
          <w:smallCaps/>
        </w:rPr>
      </w:pPr>
      <w:r w:rsidRPr="00166040">
        <w:rPr>
          <w:rFonts w:ascii="Times New Roman" w:hAnsi="Times New Roman" w:cs="Times New Roman"/>
          <w:b/>
          <w:smallCaps/>
        </w:rPr>
        <w:t>GESTIONE DELLA MOBILITÁ INTERNAZIONALE IN ERASMUS+</w:t>
      </w:r>
    </w:p>
    <w:p w:rsidR="00061DDA" w:rsidRPr="00166040" w:rsidRDefault="00061DDA" w:rsidP="00166040">
      <w:pPr>
        <w:jc w:val="both"/>
        <w:rPr>
          <w:rFonts w:ascii="Times New Roman" w:hAnsi="Times New Roman" w:cs="Times New Roman"/>
        </w:rPr>
      </w:pPr>
    </w:p>
    <w:p w:rsidR="001911DA" w:rsidRPr="00166040" w:rsidRDefault="001911DA" w:rsidP="00166040">
      <w:pPr>
        <w:jc w:val="both"/>
        <w:rPr>
          <w:rFonts w:ascii="Times New Roman" w:hAnsi="Times New Roman" w:cs="Times New Roman"/>
          <w:b/>
          <w:smallCaps/>
        </w:rPr>
      </w:pPr>
    </w:p>
    <w:p w:rsidR="00166040" w:rsidRDefault="00166040" w:rsidP="00166040">
      <w:pPr>
        <w:jc w:val="both"/>
        <w:rPr>
          <w:rFonts w:ascii="Times New Roman" w:hAnsi="Times New Roman" w:cs="Times New Roman"/>
          <w:b/>
          <w:smallCaps/>
        </w:rPr>
      </w:pPr>
    </w:p>
    <w:p w:rsidR="00061DDA" w:rsidRPr="00166040" w:rsidRDefault="00061DDA" w:rsidP="00166040">
      <w:pPr>
        <w:jc w:val="both"/>
        <w:rPr>
          <w:rFonts w:ascii="Times New Roman" w:hAnsi="Times New Roman" w:cs="Times New Roman"/>
          <w:b/>
          <w:smallCaps/>
        </w:rPr>
      </w:pPr>
      <w:r w:rsidRPr="00166040">
        <w:rPr>
          <w:rFonts w:ascii="Times New Roman" w:hAnsi="Times New Roman" w:cs="Times New Roman"/>
          <w:b/>
          <w:smallCaps/>
        </w:rPr>
        <w:t>Introduzione</w:t>
      </w:r>
    </w:p>
    <w:p w:rsidR="00061DDA" w:rsidRPr="00166040" w:rsidRDefault="00061DDA" w:rsidP="00166040">
      <w:pPr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 xml:space="preserve">La presente nota mira a fornire agli Istituti di Istruzione Superiore dei Paesi partecipanti al Programma una serie di informazioni circa l’organizzazione della mobilità internazionale </w:t>
      </w:r>
      <w:r w:rsidR="000D332E">
        <w:rPr>
          <w:rFonts w:ascii="Times New Roman" w:hAnsi="Times New Roman" w:cs="Times New Roman"/>
        </w:rPr>
        <w:t xml:space="preserve">con i Paesi Partner </w:t>
      </w:r>
      <w:r w:rsidRPr="00166040">
        <w:rPr>
          <w:rFonts w:ascii="Times New Roman" w:hAnsi="Times New Roman" w:cs="Times New Roman"/>
        </w:rPr>
        <w:t xml:space="preserve">oltre l’Europa. Queste informazioni sono utili per gli Istituti di Istruzione Superiore che saranno responsabili della presentazione della candidatura all’Agenzia Nazionale per richiedere finanziamenti per la mobilità di studenti e staff sia </w:t>
      </w:r>
      <w:r w:rsidRPr="00166040">
        <w:rPr>
          <w:rFonts w:ascii="Times New Roman" w:hAnsi="Times New Roman" w:cs="Times New Roman"/>
          <w:u w:val="single"/>
        </w:rPr>
        <w:t>in entrata</w:t>
      </w:r>
      <w:r w:rsidRPr="00166040">
        <w:rPr>
          <w:rFonts w:ascii="Times New Roman" w:hAnsi="Times New Roman" w:cs="Times New Roman"/>
        </w:rPr>
        <w:t xml:space="preserve"> che in uscita. I Paesi partecipanti al Programma sono i 28 Stati membri dell’Unione europea, la ex Repubblica Iugoslava di Macedonia, l’Islanda, il Liechtenstein, la Norvegia, e la Turchia.</w:t>
      </w:r>
    </w:p>
    <w:p w:rsidR="00166040" w:rsidRDefault="00166040" w:rsidP="00166040">
      <w:pPr>
        <w:jc w:val="both"/>
        <w:rPr>
          <w:rFonts w:ascii="Times New Roman" w:hAnsi="Times New Roman" w:cs="Times New Roman"/>
          <w:b/>
          <w:smallCaps/>
        </w:rPr>
      </w:pPr>
    </w:p>
    <w:p w:rsidR="00166040" w:rsidRDefault="00166040" w:rsidP="00166040">
      <w:pPr>
        <w:jc w:val="both"/>
        <w:rPr>
          <w:rFonts w:ascii="Times New Roman" w:hAnsi="Times New Roman" w:cs="Times New Roman"/>
          <w:b/>
          <w:smallCaps/>
        </w:rPr>
      </w:pPr>
    </w:p>
    <w:p w:rsidR="00061DDA" w:rsidRPr="00166040" w:rsidRDefault="00061DDA" w:rsidP="00166040">
      <w:pPr>
        <w:jc w:val="both"/>
        <w:rPr>
          <w:rFonts w:ascii="Times New Roman" w:hAnsi="Times New Roman" w:cs="Times New Roman"/>
          <w:b/>
          <w:smallCaps/>
        </w:rPr>
      </w:pPr>
      <w:r w:rsidRPr="00166040">
        <w:rPr>
          <w:rFonts w:ascii="Times New Roman" w:hAnsi="Times New Roman" w:cs="Times New Roman"/>
          <w:b/>
          <w:smallCaps/>
        </w:rPr>
        <w:t>Copertura Geografica dell’Invito a presentare proposte</w:t>
      </w:r>
    </w:p>
    <w:p w:rsidR="00061DDA" w:rsidRPr="00166040" w:rsidRDefault="00061DDA" w:rsidP="00166040">
      <w:pPr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>Nell’ambito dell’invito a presentare proposte 201</w:t>
      </w:r>
      <w:r w:rsidR="009C42E7">
        <w:rPr>
          <w:rFonts w:ascii="Times New Roman" w:hAnsi="Times New Roman" w:cs="Times New Roman"/>
        </w:rPr>
        <w:t>8</w:t>
      </w:r>
      <w:r w:rsidRPr="00166040">
        <w:rPr>
          <w:rFonts w:ascii="Times New Roman" w:hAnsi="Times New Roman" w:cs="Times New Roman"/>
        </w:rPr>
        <w:t xml:space="preserve">, il budget disponibile per la mobilità internazionale deriva da </w:t>
      </w:r>
      <w:r w:rsidR="006A294A">
        <w:rPr>
          <w:rFonts w:ascii="Times New Roman" w:hAnsi="Times New Roman" w:cs="Times New Roman"/>
        </w:rPr>
        <w:t>5</w:t>
      </w:r>
      <w:r w:rsidRPr="00166040">
        <w:rPr>
          <w:rFonts w:ascii="Times New Roman" w:hAnsi="Times New Roman" w:cs="Times New Roman"/>
        </w:rPr>
        <w:t xml:space="preserve"> diversi strumenti finanziari dell’Unione europea, ovvero: </w:t>
      </w:r>
    </w:p>
    <w:p w:rsidR="00061DDA" w:rsidRPr="00166040" w:rsidRDefault="00061DDA" w:rsidP="00166040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66040">
        <w:rPr>
          <w:rFonts w:ascii="Times New Roman" w:hAnsi="Times New Roman" w:cs="Times New Roman"/>
          <w:lang w:val="en-US"/>
        </w:rPr>
        <w:t>Instrument for Pre-accession (</w:t>
      </w:r>
      <w:r w:rsidRPr="00166040">
        <w:rPr>
          <w:rFonts w:ascii="Times New Roman" w:hAnsi="Times New Roman" w:cs="Times New Roman"/>
          <w:b/>
          <w:lang w:val="en-US"/>
        </w:rPr>
        <w:t>IPA</w:t>
      </w:r>
      <w:r w:rsidRPr="00166040">
        <w:rPr>
          <w:rFonts w:ascii="Times New Roman" w:hAnsi="Times New Roman" w:cs="Times New Roman"/>
          <w:lang w:val="en-US"/>
        </w:rPr>
        <w:t>)</w:t>
      </w:r>
    </w:p>
    <w:p w:rsidR="00061DDA" w:rsidRPr="00166040" w:rsidRDefault="00061DDA" w:rsidP="0016604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 xml:space="preserve">European </w:t>
      </w:r>
      <w:proofErr w:type="spellStart"/>
      <w:r w:rsidRPr="00166040">
        <w:rPr>
          <w:rFonts w:ascii="Times New Roman" w:hAnsi="Times New Roman" w:cs="Times New Roman"/>
        </w:rPr>
        <w:t>Neighbourhood</w:t>
      </w:r>
      <w:proofErr w:type="spellEnd"/>
      <w:r w:rsidRPr="00166040">
        <w:rPr>
          <w:rFonts w:ascii="Times New Roman" w:hAnsi="Times New Roman" w:cs="Times New Roman"/>
        </w:rPr>
        <w:t xml:space="preserve"> </w:t>
      </w:r>
      <w:proofErr w:type="spellStart"/>
      <w:r w:rsidRPr="00166040">
        <w:rPr>
          <w:rFonts w:ascii="Times New Roman" w:hAnsi="Times New Roman" w:cs="Times New Roman"/>
        </w:rPr>
        <w:t>Instrument</w:t>
      </w:r>
      <w:proofErr w:type="spellEnd"/>
      <w:r w:rsidRPr="00166040">
        <w:rPr>
          <w:rFonts w:ascii="Times New Roman" w:hAnsi="Times New Roman" w:cs="Times New Roman"/>
        </w:rPr>
        <w:t xml:space="preserve"> (</w:t>
      </w:r>
      <w:r w:rsidRPr="00166040">
        <w:rPr>
          <w:rFonts w:ascii="Times New Roman" w:hAnsi="Times New Roman" w:cs="Times New Roman"/>
          <w:b/>
        </w:rPr>
        <w:t>ENI</w:t>
      </w:r>
      <w:r w:rsidRPr="00166040">
        <w:rPr>
          <w:rFonts w:ascii="Times New Roman" w:hAnsi="Times New Roman" w:cs="Times New Roman"/>
        </w:rPr>
        <w:t>)</w:t>
      </w:r>
    </w:p>
    <w:p w:rsidR="00061DDA" w:rsidRPr="00166040" w:rsidRDefault="00061DDA" w:rsidP="00166040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66040">
        <w:rPr>
          <w:rFonts w:ascii="Times New Roman" w:hAnsi="Times New Roman" w:cs="Times New Roman"/>
          <w:lang w:val="en-US"/>
        </w:rPr>
        <w:t>Development Co-operation Instrument (</w:t>
      </w:r>
      <w:r w:rsidRPr="00166040">
        <w:rPr>
          <w:rFonts w:ascii="Times New Roman" w:hAnsi="Times New Roman" w:cs="Times New Roman"/>
          <w:b/>
          <w:lang w:val="en-US"/>
        </w:rPr>
        <w:t>DCI</w:t>
      </w:r>
      <w:r w:rsidRPr="00166040">
        <w:rPr>
          <w:rFonts w:ascii="Times New Roman" w:hAnsi="Times New Roman" w:cs="Times New Roman"/>
          <w:lang w:val="en-US"/>
        </w:rPr>
        <w:t>)</w:t>
      </w:r>
    </w:p>
    <w:p w:rsidR="00061DDA" w:rsidRDefault="00061DDA" w:rsidP="006A294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 xml:space="preserve">Partnership </w:t>
      </w:r>
      <w:proofErr w:type="spellStart"/>
      <w:r w:rsidRPr="00166040">
        <w:rPr>
          <w:rFonts w:ascii="Times New Roman" w:hAnsi="Times New Roman" w:cs="Times New Roman"/>
        </w:rPr>
        <w:t>Instrument</w:t>
      </w:r>
      <w:proofErr w:type="spellEnd"/>
      <w:r w:rsidRPr="00166040">
        <w:rPr>
          <w:rFonts w:ascii="Times New Roman" w:hAnsi="Times New Roman" w:cs="Times New Roman"/>
        </w:rPr>
        <w:t xml:space="preserve"> (</w:t>
      </w:r>
      <w:r w:rsidRPr="00166040">
        <w:rPr>
          <w:rFonts w:ascii="Times New Roman" w:hAnsi="Times New Roman" w:cs="Times New Roman"/>
          <w:b/>
        </w:rPr>
        <w:t>PI</w:t>
      </w:r>
      <w:r w:rsidRPr="00166040">
        <w:rPr>
          <w:rFonts w:ascii="Times New Roman" w:hAnsi="Times New Roman" w:cs="Times New Roman"/>
        </w:rPr>
        <w:t>)</w:t>
      </w:r>
    </w:p>
    <w:p w:rsidR="006A294A" w:rsidRPr="00166040" w:rsidRDefault="006A294A" w:rsidP="006A294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European Development Fund </w:t>
      </w:r>
      <w:r w:rsidRPr="006A294A">
        <w:rPr>
          <w:rFonts w:ascii="Times New Roman" w:hAnsi="Times New Roman" w:cs="Times New Roman"/>
          <w:b/>
        </w:rPr>
        <w:t>(EDF)</w:t>
      </w:r>
    </w:p>
    <w:p w:rsidR="006A294A" w:rsidRDefault="006A294A" w:rsidP="00166040">
      <w:pPr>
        <w:jc w:val="both"/>
        <w:rPr>
          <w:rFonts w:ascii="Times New Roman" w:hAnsi="Times New Roman" w:cs="Times New Roman"/>
        </w:rPr>
      </w:pPr>
    </w:p>
    <w:p w:rsidR="00061DDA" w:rsidRPr="00166040" w:rsidRDefault="00061DDA" w:rsidP="00166040">
      <w:pPr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 xml:space="preserve">I sopra menzionati </w:t>
      </w:r>
      <w:r w:rsidR="006A294A">
        <w:rPr>
          <w:rFonts w:ascii="Times New Roman" w:hAnsi="Times New Roman" w:cs="Times New Roman"/>
        </w:rPr>
        <w:t>5</w:t>
      </w:r>
      <w:r w:rsidRPr="00166040">
        <w:rPr>
          <w:rFonts w:ascii="Times New Roman" w:hAnsi="Times New Roman" w:cs="Times New Roman"/>
        </w:rPr>
        <w:t xml:space="preserve"> strumenti finanziari sono a loro volta suddivisi in 1</w:t>
      </w:r>
      <w:r w:rsidR="003B29F3">
        <w:rPr>
          <w:rFonts w:ascii="Times New Roman" w:hAnsi="Times New Roman" w:cs="Times New Roman"/>
        </w:rPr>
        <w:t>2</w:t>
      </w:r>
      <w:r w:rsidRPr="00166040">
        <w:rPr>
          <w:rFonts w:ascii="Times New Roman" w:hAnsi="Times New Roman" w:cs="Times New Roman"/>
        </w:rPr>
        <w:t xml:space="preserve"> diversi sotto</w:t>
      </w:r>
      <w:r w:rsidR="00593814">
        <w:rPr>
          <w:rFonts w:ascii="Times New Roman" w:hAnsi="Times New Roman" w:cs="Times New Roman"/>
        </w:rPr>
        <w:t xml:space="preserve"> </w:t>
      </w:r>
      <w:r w:rsidRPr="00166040">
        <w:rPr>
          <w:rFonts w:ascii="Times New Roman" w:hAnsi="Times New Roman" w:cs="Times New Roman"/>
        </w:rPr>
        <w:t>capitoli che coprono la più gran parte delle regioni del mondo, ma non tutte.</w:t>
      </w:r>
    </w:p>
    <w:p w:rsidR="00061DDA" w:rsidRPr="00166040" w:rsidRDefault="00061DDA" w:rsidP="00166040">
      <w:pPr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>I sotto</w:t>
      </w:r>
      <w:r w:rsidR="00593814">
        <w:rPr>
          <w:rFonts w:ascii="Times New Roman" w:hAnsi="Times New Roman" w:cs="Times New Roman"/>
        </w:rPr>
        <w:t xml:space="preserve"> </w:t>
      </w:r>
      <w:r w:rsidRPr="00166040">
        <w:rPr>
          <w:rFonts w:ascii="Times New Roman" w:hAnsi="Times New Roman" w:cs="Times New Roman"/>
        </w:rPr>
        <w:t xml:space="preserve">capitoli del budget e i Paesi in essi ricompresi sono elencati qui di seguito. I Paesi che non compaiono nel seguente elenco non sono eleggibili alla mobilità internazionale </w:t>
      </w:r>
      <w:r w:rsidR="003B29F3">
        <w:rPr>
          <w:rFonts w:ascii="Times New Roman" w:hAnsi="Times New Roman" w:cs="Times New Roman"/>
        </w:rPr>
        <w:t>per la Call 201</w:t>
      </w:r>
      <w:r w:rsidR="009C42E7">
        <w:rPr>
          <w:rFonts w:ascii="Times New Roman" w:hAnsi="Times New Roman" w:cs="Times New Roman"/>
        </w:rPr>
        <w:t>8</w:t>
      </w:r>
      <w:r w:rsidRPr="00166040">
        <w:rPr>
          <w:rFonts w:ascii="Times New Roman" w:hAnsi="Times New Roman" w:cs="Times New Roman"/>
        </w:rPr>
        <w:t>.</w:t>
      </w:r>
    </w:p>
    <w:p w:rsidR="001911DA" w:rsidRPr="00166040" w:rsidRDefault="001911DA" w:rsidP="00166040">
      <w:pPr>
        <w:jc w:val="both"/>
        <w:rPr>
          <w:rFonts w:ascii="Times New Roman" w:hAnsi="Times New Roman" w:cs="Times New Roman"/>
        </w:rPr>
      </w:pPr>
    </w:p>
    <w:p w:rsidR="00061DDA" w:rsidRPr="00166040" w:rsidRDefault="00061DDA" w:rsidP="00166040">
      <w:pPr>
        <w:pStyle w:val="Guide-Heading5"/>
        <w:keepNext w:val="0"/>
        <w:widowControl w:val="0"/>
        <w:suppressAutoHyphens w:val="0"/>
        <w:spacing w:before="0"/>
        <w:jc w:val="both"/>
        <w:rPr>
          <w:rFonts w:ascii="Times New Roman" w:hAnsi="Times New Roman" w:cs="Times New Roman"/>
          <w:smallCaps w:val="0"/>
          <w:sz w:val="24"/>
          <w:szCs w:val="24"/>
        </w:rPr>
      </w:pPr>
      <w:proofErr w:type="gramStart"/>
      <w:r w:rsidRPr="00166040">
        <w:rPr>
          <w:rFonts w:ascii="Times New Roman" w:hAnsi="Times New Roman" w:cs="Times New Roman"/>
          <w:sz w:val="24"/>
          <w:szCs w:val="24"/>
        </w:rPr>
        <w:t>I</w:t>
      </w:r>
      <w:r w:rsidR="00166040">
        <w:rPr>
          <w:rFonts w:ascii="Times New Roman" w:hAnsi="Times New Roman" w:cs="Times New Roman"/>
          <w:sz w:val="24"/>
          <w:szCs w:val="24"/>
        </w:rPr>
        <w:t>nstrument  for</w:t>
      </w:r>
      <w:proofErr w:type="gramEnd"/>
      <w:r w:rsidR="00166040">
        <w:rPr>
          <w:rFonts w:ascii="Times New Roman" w:hAnsi="Times New Roman" w:cs="Times New Roman"/>
          <w:sz w:val="24"/>
          <w:szCs w:val="24"/>
        </w:rPr>
        <w:t xml:space="preserve"> </w:t>
      </w:r>
      <w:r w:rsidRPr="00166040">
        <w:rPr>
          <w:rFonts w:ascii="Times New Roman" w:hAnsi="Times New Roman" w:cs="Times New Roman"/>
          <w:sz w:val="24"/>
          <w:szCs w:val="24"/>
        </w:rPr>
        <w:t>P</w:t>
      </w:r>
      <w:r w:rsidR="00166040">
        <w:rPr>
          <w:rFonts w:ascii="Times New Roman" w:hAnsi="Times New Roman" w:cs="Times New Roman"/>
          <w:sz w:val="24"/>
          <w:szCs w:val="24"/>
        </w:rPr>
        <w:t>re</w:t>
      </w:r>
      <w:r w:rsidRPr="00166040">
        <w:rPr>
          <w:rFonts w:ascii="Times New Roman" w:hAnsi="Times New Roman" w:cs="Times New Roman"/>
          <w:sz w:val="24"/>
          <w:szCs w:val="24"/>
        </w:rPr>
        <w:t>-A</w:t>
      </w:r>
      <w:r w:rsidR="00166040">
        <w:rPr>
          <w:rFonts w:ascii="Times New Roman" w:hAnsi="Times New Roman" w:cs="Times New Roman"/>
          <w:sz w:val="24"/>
          <w:szCs w:val="24"/>
        </w:rPr>
        <w:t>ccession</w:t>
      </w:r>
      <w:r w:rsidRPr="00166040">
        <w:rPr>
          <w:rFonts w:ascii="Times New Roman" w:hAnsi="Times New Roman" w:cs="Times New Roman"/>
          <w:sz w:val="24"/>
          <w:szCs w:val="24"/>
        </w:rPr>
        <w:t xml:space="preserve"> (IPA)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632"/>
      </w:tblGrid>
      <w:tr w:rsidR="00061DDA" w:rsidRPr="00166040" w:rsidTr="003C0946">
        <w:tc>
          <w:tcPr>
            <w:tcW w:w="1034" w:type="pct"/>
            <w:shd w:val="clear" w:color="auto" w:fill="auto"/>
            <w:vAlign w:val="center"/>
          </w:tcPr>
          <w:p w:rsidR="00061DDA" w:rsidRPr="00166040" w:rsidRDefault="00061DDA" w:rsidP="00166040">
            <w:pPr>
              <w:pStyle w:val="Corpodeltesto2"/>
              <w:widowControl w:val="0"/>
              <w:snapToGrid w:val="0"/>
              <w:spacing w:after="0" w:line="240" w:lineRule="auto"/>
              <w:rPr>
                <w:szCs w:val="24"/>
              </w:rPr>
            </w:pPr>
            <w:r w:rsidRPr="00166040">
              <w:rPr>
                <w:szCs w:val="24"/>
              </w:rPr>
              <w:t>IPA</w:t>
            </w:r>
            <w:r w:rsidRPr="00166040">
              <w:rPr>
                <w:szCs w:val="24"/>
              </w:rPr>
              <w:br/>
            </w:r>
            <w:proofErr w:type="spellStart"/>
            <w:r w:rsidRPr="00166040">
              <w:rPr>
                <w:szCs w:val="24"/>
              </w:rPr>
              <w:t>Balcani</w:t>
            </w:r>
            <w:proofErr w:type="spellEnd"/>
            <w:r w:rsidRPr="00166040">
              <w:rPr>
                <w:szCs w:val="24"/>
              </w:rPr>
              <w:t xml:space="preserve"> </w:t>
            </w:r>
            <w:proofErr w:type="spellStart"/>
            <w:r w:rsidRPr="00166040">
              <w:rPr>
                <w:szCs w:val="24"/>
              </w:rPr>
              <w:t>Occidentali</w:t>
            </w:r>
            <w:proofErr w:type="spellEnd"/>
          </w:p>
        </w:tc>
        <w:tc>
          <w:tcPr>
            <w:tcW w:w="3966" w:type="pct"/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6040">
              <w:rPr>
                <w:rFonts w:ascii="Times New Roman" w:hAnsi="Times New Roman" w:cs="Times New Roman"/>
              </w:rPr>
              <w:t>Albania, Bosnia-Erzegovina, Kosovo, Montenegro, Serbia</w:t>
            </w:r>
          </w:p>
        </w:tc>
      </w:tr>
    </w:tbl>
    <w:p w:rsidR="00061DDA" w:rsidRPr="00166040" w:rsidRDefault="00166040" w:rsidP="00166040">
      <w:pPr>
        <w:pStyle w:val="Guide-Heading5"/>
        <w:keepNext w:val="0"/>
        <w:widowControl w:val="0"/>
        <w:suppressAutoHyphens w:val="0"/>
        <w:jc w:val="both"/>
        <w:rPr>
          <w:rFonts w:ascii="Times New Roman" w:hAnsi="Times New Roman" w:cs="Times New Roman"/>
          <w:smallCap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European</w:t>
      </w:r>
      <w:r w:rsidR="00061DDA" w:rsidRPr="00166040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eighbourhood </w:t>
      </w:r>
      <w:r w:rsidR="00061DDA" w:rsidRPr="0016604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nstrument</w:t>
      </w:r>
      <w:r w:rsidR="00061DDA" w:rsidRPr="00166040">
        <w:rPr>
          <w:rFonts w:ascii="Times New Roman" w:hAnsi="Times New Roman" w:cs="Times New Roman"/>
          <w:sz w:val="24"/>
          <w:szCs w:val="24"/>
        </w:rPr>
        <w:t xml:space="preserve"> (ENI)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632"/>
      </w:tblGrid>
      <w:tr w:rsidR="00061DDA" w:rsidRPr="00166040" w:rsidTr="003C0946">
        <w:tc>
          <w:tcPr>
            <w:tcW w:w="1034" w:type="pct"/>
            <w:shd w:val="clear" w:color="auto" w:fill="auto"/>
            <w:vAlign w:val="center"/>
          </w:tcPr>
          <w:p w:rsidR="00061DDA" w:rsidRPr="00166040" w:rsidRDefault="00061DDA" w:rsidP="00166040">
            <w:pPr>
              <w:pStyle w:val="Corpodeltesto2"/>
              <w:widowControl w:val="0"/>
              <w:snapToGrid w:val="0"/>
              <w:spacing w:after="0" w:line="240" w:lineRule="auto"/>
              <w:rPr>
                <w:szCs w:val="24"/>
              </w:rPr>
            </w:pPr>
            <w:r w:rsidRPr="00166040">
              <w:rPr>
                <w:szCs w:val="24"/>
              </w:rPr>
              <w:t>ENI</w:t>
            </w:r>
            <w:r w:rsidRPr="00166040">
              <w:rPr>
                <w:szCs w:val="24"/>
              </w:rPr>
              <w:br/>
            </w:r>
            <w:proofErr w:type="spellStart"/>
            <w:r w:rsidRPr="00166040">
              <w:rPr>
                <w:szCs w:val="24"/>
              </w:rPr>
              <w:t>Partenariato</w:t>
            </w:r>
            <w:proofErr w:type="spellEnd"/>
            <w:r w:rsidRPr="00166040">
              <w:rPr>
                <w:szCs w:val="24"/>
              </w:rPr>
              <w:t xml:space="preserve"> Orientale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6040">
              <w:rPr>
                <w:rFonts w:ascii="Times New Roman" w:hAnsi="Times New Roman" w:cs="Times New Roman"/>
              </w:rPr>
              <w:t>Armenia, Azerbaijan, Bielorussia, Georgia, Moldavia, Territorio dell’Ucraina come riconosciuto dal diritto internazionale</w:t>
            </w:r>
          </w:p>
        </w:tc>
      </w:tr>
      <w:tr w:rsidR="00061DDA" w:rsidRPr="00166040" w:rsidTr="003C0946">
        <w:tc>
          <w:tcPr>
            <w:tcW w:w="1034" w:type="pct"/>
            <w:shd w:val="clear" w:color="auto" w:fill="auto"/>
            <w:vAlign w:val="center"/>
          </w:tcPr>
          <w:p w:rsidR="00061DDA" w:rsidRPr="00166040" w:rsidRDefault="00061DDA" w:rsidP="00166040">
            <w:pPr>
              <w:pStyle w:val="Corpodeltesto2"/>
              <w:widowControl w:val="0"/>
              <w:snapToGrid w:val="0"/>
              <w:spacing w:after="0" w:line="240" w:lineRule="auto"/>
              <w:rPr>
                <w:szCs w:val="24"/>
              </w:rPr>
            </w:pPr>
            <w:r w:rsidRPr="00166040">
              <w:rPr>
                <w:szCs w:val="24"/>
              </w:rPr>
              <w:t>ENI</w:t>
            </w:r>
            <w:r w:rsidRPr="00166040">
              <w:rPr>
                <w:szCs w:val="24"/>
              </w:rPr>
              <w:br/>
            </w:r>
            <w:proofErr w:type="spellStart"/>
            <w:r w:rsidRPr="00166040">
              <w:rPr>
                <w:szCs w:val="24"/>
              </w:rPr>
              <w:t>Mediterraneo</w:t>
            </w:r>
            <w:proofErr w:type="spellEnd"/>
            <w:r w:rsidRPr="00166040">
              <w:rPr>
                <w:szCs w:val="24"/>
              </w:rPr>
              <w:t xml:space="preserve"> </w:t>
            </w:r>
            <w:proofErr w:type="spellStart"/>
            <w:r w:rsidRPr="00166040">
              <w:rPr>
                <w:szCs w:val="24"/>
              </w:rPr>
              <w:t>meridionale</w:t>
            </w:r>
            <w:proofErr w:type="spellEnd"/>
          </w:p>
        </w:tc>
        <w:tc>
          <w:tcPr>
            <w:tcW w:w="3966" w:type="pct"/>
            <w:shd w:val="clear" w:color="auto" w:fill="auto"/>
            <w:vAlign w:val="center"/>
          </w:tcPr>
          <w:p w:rsidR="00061DDA" w:rsidRPr="00166040" w:rsidRDefault="00061DDA" w:rsidP="00CD381E">
            <w:pPr>
              <w:spacing w:before="30" w:after="3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166040">
              <w:rPr>
                <w:rFonts w:ascii="Times New Roman" w:hAnsi="Times New Roman" w:cs="Times New Roman"/>
              </w:rPr>
              <w:t xml:space="preserve">Algeria, Egitto, Israele, Giordania, Libano, Libia, Marocco, Palestina, Siria, </w:t>
            </w:r>
            <w:r w:rsidRPr="00CD381E">
              <w:rPr>
                <w:rFonts w:ascii="Times New Roman" w:hAnsi="Times New Roman" w:cs="Times New Roman"/>
              </w:rPr>
              <w:t>Tunisia</w:t>
            </w:r>
          </w:p>
        </w:tc>
      </w:tr>
      <w:tr w:rsidR="00061DDA" w:rsidRPr="00166040" w:rsidTr="003C0946">
        <w:tc>
          <w:tcPr>
            <w:tcW w:w="1034" w:type="pct"/>
            <w:shd w:val="clear" w:color="auto" w:fill="auto"/>
            <w:vAlign w:val="center"/>
          </w:tcPr>
          <w:p w:rsidR="00061DDA" w:rsidRPr="00166040" w:rsidRDefault="00061DDA" w:rsidP="00166040">
            <w:pPr>
              <w:pStyle w:val="Corpodeltesto2"/>
              <w:widowControl w:val="0"/>
              <w:snapToGrid w:val="0"/>
              <w:spacing w:after="0" w:line="240" w:lineRule="auto"/>
              <w:rPr>
                <w:szCs w:val="24"/>
              </w:rPr>
            </w:pPr>
            <w:r w:rsidRPr="00166040">
              <w:rPr>
                <w:szCs w:val="24"/>
              </w:rPr>
              <w:t>ENI</w:t>
            </w:r>
            <w:r w:rsidRPr="00166040">
              <w:rPr>
                <w:szCs w:val="24"/>
              </w:rPr>
              <w:br/>
            </w:r>
            <w:proofErr w:type="spellStart"/>
            <w:r w:rsidRPr="00166040">
              <w:rPr>
                <w:szCs w:val="24"/>
              </w:rPr>
              <w:t>Federazione</w:t>
            </w:r>
            <w:proofErr w:type="spellEnd"/>
            <w:r w:rsidRPr="00166040">
              <w:rPr>
                <w:szCs w:val="24"/>
              </w:rPr>
              <w:t xml:space="preserve"> </w:t>
            </w:r>
            <w:proofErr w:type="spellStart"/>
            <w:r w:rsidRPr="00166040">
              <w:rPr>
                <w:szCs w:val="24"/>
              </w:rPr>
              <w:t>russa</w:t>
            </w:r>
            <w:proofErr w:type="spellEnd"/>
            <w:r w:rsidRPr="00166040">
              <w:rPr>
                <w:rStyle w:val="Rimandonotaapidipagina"/>
                <w:szCs w:val="24"/>
              </w:rPr>
              <w:footnoteReference w:id="1"/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6040">
              <w:rPr>
                <w:rFonts w:ascii="Times New Roman" w:hAnsi="Times New Roman" w:cs="Times New Roman"/>
              </w:rPr>
              <w:t>Territorio della Russia come riconosciuto dal diritto internazionale</w:t>
            </w:r>
          </w:p>
        </w:tc>
      </w:tr>
    </w:tbl>
    <w:p w:rsidR="00061DDA" w:rsidRPr="00166040" w:rsidRDefault="00061DDA" w:rsidP="00166040">
      <w:pPr>
        <w:pStyle w:val="Guide-Heading5"/>
        <w:keepNext w:val="0"/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61DDA" w:rsidRPr="00166040" w:rsidRDefault="00166040" w:rsidP="00166040">
      <w:pPr>
        <w:pStyle w:val="Guide-Heading5"/>
        <w:keepNext w:val="0"/>
        <w:widowControl w:val="0"/>
        <w:suppressAutoHyphens w:val="0"/>
        <w:jc w:val="both"/>
        <w:rPr>
          <w:rFonts w:ascii="Times New Roman" w:hAnsi="Times New Roman" w:cs="Times New Roman"/>
          <w:smallCaps w:val="0"/>
          <w:sz w:val="24"/>
          <w:szCs w:val="24"/>
          <w:lang w:val="en-US"/>
        </w:rPr>
      </w:pPr>
      <w:r w:rsidRPr="00166040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061DDA" w:rsidRPr="00166040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166040">
        <w:rPr>
          <w:rFonts w:ascii="Times New Roman" w:hAnsi="Times New Roman" w:cs="Times New Roman"/>
          <w:sz w:val="24"/>
          <w:szCs w:val="24"/>
          <w:lang w:val="en-US"/>
        </w:rPr>
        <w:t xml:space="preserve">o-operation </w:t>
      </w:r>
      <w:r w:rsidR="00061DDA" w:rsidRPr="001660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6040">
        <w:rPr>
          <w:rFonts w:ascii="Times New Roman" w:hAnsi="Times New Roman" w:cs="Times New Roman"/>
          <w:sz w:val="24"/>
          <w:szCs w:val="24"/>
          <w:lang w:val="en-US"/>
        </w:rPr>
        <w:t>nstrument</w:t>
      </w:r>
      <w:r w:rsidR="00061DDA" w:rsidRPr="00166040">
        <w:rPr>
          <w:rFonts w:ascii="Times New Roman" w:hAnsi="Times New Roman" w:cs="Times New Roman"/>
          <w:sz w:val="24"/>
          <w:szCs w:val="24"/>
          <w:lang w:val="en-US"/>
        </w:rPr>
        <w:t xml:space="preserve"> (DCI)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632"/>
      </w:tblGrid>
      <w:tr w:rsidR="00061DDA" w:rsidRPr="00166040" w:rsidTr="003C0946">
        <w:tc>
          <w:tcPr>
            <w:tcW w:w="1034" w:type="pct"/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6040">
              <w:rPr>
                <w:rFonts w:ascii="Times New Roman" w:hAnsi="Times New Roman" w:cs="Times New Roman"/>
                <w:shd w:val="clear" w:color="auto" w:fill="FFFFFF"/>
              </w:rPr>
              <w:t>DCI</w:t>
            </w:r>
            <w:r w:rsidRPr="00166040">
              <w:rPr>
                <w:rFonts w:ascii="Times New Roman" w:hAnsi="Times New Roman" w:cs="Times New Roman"/>
                <w:shd w:val="clear" w:color="auto" w:fill="FFFFFF"/>
              </w:rPr>
              <w:br/>
              <w:t>Asia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6040">
              <w:rPr>
                <w:rFonts w:ascii="Times New Roman" w:hAnsi="Times New Roman" w:cs="Times New Roman"/>
              </w:rPr>
              <w:t xml:space="preserve">Afghanistan, Bangladesh, Bhutan, Cambogia, Cina, Corea del Nord, India, Indonesia, Laos, Malesia, Maldive, Mongolia, Myanmar, Nepal, Pakistan, Filippine, </w:t>
            </w:r>
            <w:proofErr w:type="spellStart"/>
            <w:r w:rsidRPr="00166040">
              <w:rPr>
                <w:rFonts w:ascii="Times New Roman" w:hAnsi="Times New Roman" w:cs="Times New Roman"/>
              </w:rPr>
              <w:t>Sri</w:t>
            </w:r>
            <w:proofErr w:type="spellEnd"/>
            <w:r w:rsidRPr="00166040">
              <w:rPr>
                <w:rFonts w:ascii="Times New Roman" w:hAnsi="Times New Roman" w:cs="Times New Roman"/>
              </w:rPr>
              <w:t xml:space="preserve"> Lanka, </w:t>
            </w:r>
            <w:proofErr w:type="spellStart"/>
            <w:r w:rsidRPr="00166040">
              <w:rPr>
                <w:rFonts w:ascii="Times New Roman" w:hAnsi="Times New Roman" w:cs="Times New Roman"/>
              </w:rPr>
              <w:t>Thailandia</w:t>
            </w:r>
            <w:proofErr w:type="spellEnd"/>
            <w:r w:rsidRPr="00166040">
              <w:rPr>
                <w:rFonts w:ascii="Times New Roman" w:hAnsi="Times New Roman" w:cs="Times New Roman"/>
              </w:rPr>
              <w:t xml:space="preserve"> e Vietnam</w:t>
            </w:r>
          </w:p>
        </w:tc>
      </w:tr>
      <w:tr w:rsidR="00061DDA" w:rsidRPr="00166040" w:rsidTr="003C0946">
        <w:trPr>
          <w:trHeight w:val="624"/>
        </w:trPr>
        <w:tc>
          <w:tcPr>
            <w:tcW w:w="1034" w:type="pct"/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6040">
              <w:rPr>
                <w:rFonts w:ascii="Times New Roman" w:hAnsi="Times New Roman" w:cs="Times New Roman"/>
                <w:shd w:val="clear" w:color="auto" w:fill="FFFFFF"/>
              </w:rPr>
              <w:t>DCI</w:t>
            </w:r>
            <w:r w:rsidRPr="00166040">
              <w:rPr>
                <w:rFonts w:ascii="Times New Roman" w:hAnsi="Times New Roman" w:cs="Times New Roman"/>
                <w:shd w:val="clear" w:color="auto" w:fill="FFFFFF"/>
              </w:rPr>
              <w:br/>
              <w:t>Asia Centrale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  <w:lang w:val="fi-FI"/>
              </w:rPr>
            </w:pPr>
            <w:r w:rsidRPr="00166040">
              <w:rPr>
                <w:rFonts w:ascii="Times New Roman" w:hAnsi="Times New Roman" w:cs="Times New Roman"/>
                <w:lang w:val="fi-FI"/>
              </w:rPr>
              <w:t>Kazakhistan, Kirghizistan, Tagikistan, Turkmenistan, Uzbekistan</w:t>
            </w:r>
          </w:p>
        </w:tc>
      </w:tr>
      <w:tr w:rsidR="00061DDA" w:rsidRPr="00166040" w:rsidTr="003C0946">
        <w:tc>
          <w:tcPr>
            <w:tcW w:w="1034" w:type="pct"/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6040">
              <w:rPr>
                <w:rFonts w:ascii="Times New Roman" w:hAnsi="Times New Roman" w:cs="Times New Roman"/>
                <w:shd w:val="clear" w:color="auto" w:fill="FFFFFF"/>
              </w:rPr>
              <w:t>DCI</w:t>
            </w:r>
            <w:r w:rsidRPr="00166040">
              <w:rPr>
                <w:rFonts w:ascii="Times New Roman" w:hAnsi="Times New Roman" w:cs="Times New Roman"/>
                <w:shd w:val="clear" w:color="auto" w:fill="FFFFFF"/>
              </w:rPr>
              <w:br/>
              <w:t>America Latina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061DDA" w:rsidRPr="00166040" w:rsidRDefault="00B16E14" w:rsidP="00166040">
            <w:pPr>
              <w:jc w:val="both"/>
              <w:rPr>
                <w:rFonts w:ascii="Times New Roman" w:hAnsi="Times New Roman" w:cs="Times New Roman"/>
                <w:lang w:val="es-ES" w:eastAsia="en-GB"/>
              </w:rPr>
            </w:pPr>
            <w:hyperlink r:id="rId7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Argentina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8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Bolivia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9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Brasil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e, </w:t>
            </w:r>
            <w:hyperlink r:id="rId10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Cile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11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Colombia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12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Costa Rica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Cuba, </w:t>
            </w:r>
            <w:r w:rsidR="00D734AF">
              <w:fldChar w:fldCharType="begin"/>
            </w:r>
            <w:r w:rsidR="00D734AF">
              <w:instrText xml:space="preserve"> HYPERLINK "http://ec.europa.eu/europeaid/where/latin-america/country-cooperation/ecuador/ecuador_en.htm" </w:instrText>
            </w:r>
            <w:r w:rsidR="00D734AF">
              <w:fldChar w:fldCharType="separate"/>
            </w:r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>Ecuador</w:t>
            </w:r>
            <w:r w:rsidR="00D734AF">
              <w:rPr>
                <w:rFonts w:ascii="Times New Roman" w:hAnsi="Times New Roman" w:cs="Times New Roman"/>
                <w:lang w:val="es-ES" w:eastAsia="en-GB"/>
              </w:rPr>
              <w:fldChar w:fldCharType="end"/>
            </w:r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13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El Salvador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14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Guatemala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15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Honduras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16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Messico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17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Nicaragua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18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Panama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19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Paraguay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Perù, </w:t>
            </w:r>
            <w:r w:rsidR="00D734AF">
              <w:fldChar w:fldCharType="begin"/>
            </w:r>
            <w:r w:rsidR="00D734AF">
              <w:instrText xml:space="preserve"> HYPERLINK "http://ec.europa.eu/europeaid/where/latin-america/country-cooperation/uruguay/uruguay_en.htm" </w:instrText>
            </w:r>
            <w:r w:rsidR="00D734AF">
              <w:fldChar w:fldCharType="separate"/>
            </w:r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>Uruguay</w:t>
            </w:r>
            <w:r w:rsidR="00D734AF">
              <w:rPr>
                <w:rFonts w:ascii="Times New Roman" w:hAnsi="Times New Roman" w:cs="Times New Roman"/>
                <w:lang w:val="es-ES" w:eastAsia="en-GB"/>
              </w:rPr>
              <w:fldChar w:fldCharType="end"/>
            </w:r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, </w:t>
            </w:r>
            <w:hyperlink r:id="rId20" w:history="1">
              <w:r w:rsidR="00061DDA" w:rsidRPr="00166040">
                <w:rPr>
                  <w:rFonts w:ascii="Times New Roman" w:hAnsi="Times New Roman" w:cs="Times New Roman"/>
                  <w:lang w:val="es-ES" w:eastAsia="en-GB"/>
                </w:rPr>
                <w:t>Venezuela</w:t>
              </w:r>
            </w:hyperlink>
            <w:r w:rsidR="00061DDA" w:rsidRPr="00166040">
              <w:rPr>
                <w:rFonts w:ascii="Times New Roman" w:hAnsi="Times New Roman" w:cs="Times New Roman"/>
                <w:lang w:val="es-ES" w:eastAsia="en-GB"/>
              </w:rPr>
              <w:t xml:space="preserve"> </w:t>
            </w:r>
          </w:p>
        </w:tc>
      </w:tr>
      <w:tr w:rsidR="006A294A" w:rsidRPr="00166040" w:rsidTr="003C0946">
        <w:tc>
          <w:tcPr>
            <w:tcW w:w="1034" w:type="pct"/>
            <w:shd w:val="clear" w:color="auto" w:fill="auto"/>
            <w:vAlign w:val="center"/>
          </w:tcPr>
          <w:p w:rsidR="00F36585" w:rsidRDefault="00F36585" w:rsidP="00166040">
            <w:pPr>
              <w:snapToGrid w:val="0"/>
              <w:jc w:val="both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</w:p>
          <w:p w:rsidR="006A294A" w:rsidRPr="00B32091" w:rsidRDefault="006A294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32091">
              <w:rPr>
                <w:rFonts w:ascii="Times New Roman" w:hAnsi="Times New Roman" w:cs="Times New Roman"/>
                <w:shd w:val="clear" w:color="auto" w:fill="FFFFFF"/>
              </w:rPr>
              <w:t>DCI</w:t>
            </w:r>
          </w:p>
          <w:p w:rsidR="00F36585" w:rsidRPr="00B32091" w:rsidRDefault="006A294A" w:rsidP="00B32091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32091">
              <w:rPr>
                <w:rFonts w:ascii="Times New Roman" w:hAnsi="Times New Roman" w:cs="Times New Roman"/>
                <w:shd w:val="clear" w:color="auto" w:fill="FFFFFF"/>
              </w:rPr>
              <w:t>Medio Oriente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6A294A" w:rsidRPr="00166040" w:rsidRDefault="006A294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A294A">
              <w:rPr>
                <w:rFonts w:ascii="Times New Roman" w:hAnsi="Times New Roman" w:cs="Times New Roman"/>
                <w:shd w:val="clear" w:color="auto" w:fill="FFFFFF"/>
              </w:rPr>
              <w:t>Iran, Iraq, Yemen</w:t>
            </w:r>
          </w:p>
        </w:tc>
      </w:tr>
      <w:tr w:rsidR="00061DDA" w:rsidRPr="00166040" w:rsidTr="003C0946">
        <w:tc>
          <w:tcPr>
            <w:tcW w:w="1034" w:type="pct"/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6040">
              <w:rPr>
                <w:rFonts w:ascii="Times New Roman" w:hAnsi="Times New Roman" w:cs="Times New Roman"/>
                <w:shd w:val="clear" w:color="auto" w:fill="FFFFFF"/>
              </w:rPr>
              <w:t>DCI</w:t>
            </w:r>
            <w:r w:rsidRPr="00166040">
              <w:rPr>
                <w:rFonts w:ascii="Times New Roman" w:hAnsi="Times New Roman" w:cs="Times New Roman"/>
                <w:shd w:val="clear" w:color="auto" w:fill="FFFFFF"/>
              </w:rPr>
              <w:br/>
              <w:t>Sud-Africa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6040">
              <w:rPr>
                <w:rFonts w:ascii="Times New Roman" w:hAnsi="Times New Roman" w:cs="Times New Roman"/>
                <w:shd w:val="clear" w:color="auto" w:fill="FFFFFF"/>
              </w:rPr>
              <w:t>Sud-Africa</w:t>
            </w:r>
          </w:p>
        </w:tc>
      </w:tr>
    </w:tbl>
    <w:p w:rsidR="00061DDA" w:rsidRPr="00166040" w:rsidRDefault="00061DDA" w:rsidP="00166040">
      <w:pPr>
        <w:pStyle w:val="Guide-Heading5"/>
        <w:keepNext w:val="0"/>
        <w:widowControl w:val="0"/>
        <w:suppressAutoHyphens w:val="0"/>
        <w:jc w:val="both"/>
        <w:rPr>
          <w:rFonts w:ascii="Times New Roman" w:hAnsi="Times New Roman" w:cs="Times New Roman"/>
          <w:smallCaps w:val="0"/>
          <w:sz w:val="24"/>
          <w:szCs w:val="24"/>
          <w:lang w:val="it-IT"/>
        </w:rPr>
      </w:pPr>
      <w:r w:rsidRPr="00166040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166040">
        <w:rPr>
          <w:rFonts w:ascii="Times New Roman" w:hAnsi="Times New Roman" w:cs="Times New Roman"/>
          <w:sz w:val="24"/>
          <w:szCs w:val="24"/>
          <w:lang w:val="it-IT"/>
        </w:rPr>
        <w:t>artnership</w:t>
      </w:r>
      <w:r w:rsidRPr="001660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6604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166040">
        <w:rPr>
          <w:rFonts w:ascii="Times New Roman" w:hAnsi="Times New Roman" w:cs="Times New Roman"/>
          <w:sz w:val="24"/>
          <w:szCs w:val="24"/>
          <w:lang w:val="it-IT"/>
        </w:rPr>
        <w:t>nstrument</w:t>
      </w:r>
      <w:proofErr w:type="spellEnd"/>
      <w:r w:rsidRPr="00166040">
        <w:rPr>
          <w:rFonts w:ascii="Times New Roman" w:hAnsi="Times New Roman" w:cs="Times New Roman"/>
          <w:sz w:val="24"/>
          <w:szCs w:val="24"/>
          <w:lang w:val="it-IT"/>
        </w:rPr>
        <w:t xml:space="preserve"> (PI)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632"/>
      </w:tblGrid>
      <w:tr w:rsidR="00061DDA" w:rsidRPr="00166040" w:rsidTr="00B32091">
        <w:trPr>
          <w:trHeight w:val="150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4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6040">
              <w:rPr>
                <w:rFonts w:ascii="Times New Roman" w:hAnsi="Times New Roman" w:cs="Times New Roman"/>
                <w:shd w:val="clear" w:color="auto" w:fill="FFFFFF"/>
              </w:rPr>
              <w:t>PI</w:t>
            </w:r>
            <w:r w:rsidRPr="00166040">
              <w:rPr>
                <w:rFonts w:ascii="Times New Roman" w:hAnsi="Times New Roman" w:cs="Times New Roman"/>
                <w:shd w:val="clear" w:color="auto" w:fill="FFFFFF"/>
              </w:rPr>
              <w:br/>
              <w:t>Paesi industrializzati dell’America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4A" w:rsidRPr="00166040" w:rsidRDefault="00061DDA" w:rsidP="00166040">
            <w:pPr>
              <w:jc w:val="both"/>
              <w:rPr>
                <w:rFonts w:ascii="Times New Roman" w:hAnsi="Times New Roman" w:cs="Times New Roman"/>
              </w:rPr>
            </w:pPr>
            <w:r w:rsidRPr="00166040">
              <w:rPr>
                <w:rFonts w:ascii="Times New Roman" w:hAnsi="Times New Roman" w:cs="Times New Roman"/>
              </w:rPr>
              <w:t>Canada, Stati Uniti d’America</w:t>
            </w:r>
          </w:p>
        </w:tc>
      </w:tr>
      <w:tr w:rsidR="00061DDA" w:rsidRPr="00166040" w:rsidTr="003C0946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A" w:rsidRPr="00166040" w:rsidRDefault="00061DDA" w:rsidP="0016604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604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PI</w:t>
            </w:r>
            <w:r w:rsidRPr="00166040">
              <w:rPr>
                <w:rFonts w:ascii="Times New Roman" w:hAnsi="Times New Roman" w:cs="Times New Roman"/>
                <w:shd w:val="clear" w:color="auto" w:fill="FFFFFF"/>
              </w:rPr>
              <w:br/>
              <w:t>Paesi industrializzati dell’Asia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A" w:rsidRPr="00166040" w:rsidRDefault="00061DDA" w:rsidP="00166040">
            <w:pPr>
              <w:jc w:val="both"/>
              <w:rPr>
                <w:rFonts w:ascii="Times New Roman" w:hAnsi="Times New Roman" w:cs="Times New Roman"/>
              </w:rPr>
            </w:pPr>
            <w:r w:rsidRPr="00166040">
              <w:rPr>
                <w:rFonts w:ascii="Times New Roman" w:hAnsi="Times New Roman" w:cs="Times New Roman"/>
              </w:rPr>
              <w:t xml:space="preserve">Australia, Brunei, Hong Kong, Giappone, Corea del Sud, Macao, Nuova Zelanda, Singapore, Taiwan </w:t>
            </w:r>
          </w:p>
        </w:tc>
      </w:tr>
    </w:tbl>
    <w:p w:rsidR="006A294A" w:rsidRPr="00166040" w:rsidRDefault="006A294A" w:rsidP="006A294A">
      <w:pPr>
        <w:pStyle w:val="Guide-Heading5"/>
        <w:keepNext w:val="0"/>
        <w:widowControl w:val="0"/>
        <w:suppressAutoHyphens w:val="0"/>
        <w:jc w:val="both"/>
        <w:rPr>
          <w:rFonts w:ascii="Times New Roman" w:hAnsi="Times New Roman" w:cs="Times New Roman"/>
          <w:smallCaps w:val="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European Development Fund</w:t>
      </w:r>
      <w:r w:rsidRPr="00166040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t-IT"/>
        </w:rPr>
        <w:t>EDF</w:t>
      </w:r>
      <w:r w:rsidRPr="00166040">
        <w:rPr>
          <w:rFonts w:ascii="Times New Roman" w:hAnsi="Times New Roman" w:cs="Times New Roman"/>
          <w:sz w:val="24"/>
          <w:szCs w:val="24"/>
          <w:lang w:val="it-I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632"/>
      </w:tblGrid>
      <w:tr w:rsidR="006A294A" w:rsidRPr="00166040" w:rsidTr="00DE4D1F">
        <w:trPr>
          <w:trHeight w:val="820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85" w:rsidRDefault="006A294A" w:rsidP="00DE4D1F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EDF</w:t>
            </w:r>
            <w:r w:rsidR="003B29F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F36585" w:rsidRPr="00B32091" w:rsidRDefault="006A294A" w:rsidP="00B32091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Africa</w:t>
            </w:r>
            <w:r w:rsidR="00BA38C6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Caraibi e Pacifico</w:t>
            </w:r>
            <w:r w:rsidR="00F36585" w:rsidRPr="00F36585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br/>
            </w:r>
          </w:p>
          <w:p w:rsidR="006A294A" w:rsidRPr="00166040" w:rsidRDefault="006A294A" w:rsidP="00DE4D1F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C6" w:rsidRPr="00BA38C6" w:rsidRDefault="00BA38C6" w:rsidP="00BA38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16"/>
            </w:tblGrid>
            <w:tr w:rsidR="00BA38C6" w:rsidRPr="00BA38C6">
              <w:trPr>
                <w:trHeight w:val="1015"/>
              </w:trPr>
              <w:tc>
                <w:tcPr>
                  <w:tcW w:w="0" w:type="auto"/>
                </w:tcPr>
                <w:p w:rsidR="00BA38C6" w:rsidRPr="00BA38C6" w:rsidRDefault="00BA38C6" w:rsidP="00BA38C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BA38C6">
                    <w:rPr>
                      <w:rFonts w:ascii="Times New Roman" w:hAnsi="Times New Roman" w:cs="Times New Roman"/>
                    </w:rPr>
                    <w:t xml:space="preserve">Angola, Antigua and Barbuda, Bahamas, Barbados, Belize, Benin, Botswana, Burkina Faso, Burundi, Cameroon, Cape Verde, Central </w:t>
                  </w:r>
                  <w:proofErr w:type="spellStart"/>
                  <w:r w:rsidRPr="00BA38C6">
                    <w:rPr>
                      <w:rFonts w:ascii="Times New Roman" w:hAnsi="Times New Roman" w:cs="Times New Roman"/>
                    </w:rPr>
                    <w:t>African</w:t>
                  </w:r>
                  <w:proofErr w:type="spellEnd"/>
                  <w:r w:rsidRPr="00BA38C6">
                    <w:rPr>
                      <w:rFonts w:ascii="Times New Roman" w:hAnsi="Times New Roman" w:cs="Times New Roman"/>
                    </w:rPr>
                    <w:t xml:space="preserve"> Republic, Chad, Comoros, Congo, Congo -</w:t>
                  </w:r>
                  <w:proofErr w:type="spellStart"/>
                  <w:r w:rsidRPr="00BA38C6">
                    <w:rPr>
                      <w:rFonts w:ascii="Times New Roman" w:hAnsi="Times New Roman" w:cs="Times New Roman"/>
                    </w:rPr>
                    <w:t>Democratic</w:t>
                  </w:r>
                  <w:proofErr w:type="spellEnd"/>
                  <w:r w:rsidRPr="00BA38C6">
                    <w:rPr>
                      <w:rFonts w:ascii="Times New Roman" w:hAnsi="Times New Roman" w:cs="Times New Roman"/>
                    </w:rPr>
                    <w:t xml:space="preserve"> Republic of the, Cook </w:t>
                  </w:r>
                  <w:proofErr w:type="spellStart"/>
                  <w:r w:rsidRPr="00BA38C6">
                    <w:rPr>
                      <w:rFonts w:ascii="Times New Roman" w:hAnsi="Times New Roman" w:cs="Times New Roman"/>
                    </w:rPr>
                    <w:t>Islands</w:t>
                  </w:r>
                  <w:proofErr w:type="spellEnd"/>
                  <w:r w:rsidRPr="00BA38C6">
                    <w:rPr>
                      <w:rFonts w:ascii="Times New Roman" w:hAnsi="Times New Roman" w:cs="Times New Roman"/>
                    </w:rPr>
                    <w:t xml:space="preserve">, Djibouti, Dominica, </w:t>
                  </w:r>
                  <w:proofErr w:type="spellStart"/>
                  <w:r w:rsidRPr="00BA38C6">
                    <w:rPr>
                      <w:rFonts w:ascii="Times New Roman" w:hAnsi="Times New Roman" w:cs="Times New Roman"/>
                    </w:rPr>
                    <w:t>Dominican</w:t>
                  </w:r>
                  <w:proofErr w:type="spellEnd"/>
                  <w:r w:rsidRPr="00BA38C6">
                    <w:rPr>
                      <w:rFonts w:ascii="Times New Roman" w:hAnsi="Times New Roman" w:cs="Times New Roman"/>
                    </w:rPr>
                    <w:t xml:space="preserve"> Republic, </w:t>
                  </w:r>
                  <w:proofErr w:type="spellStart"/>
                  <w:r w:rsidRPr="00BA38C6">
                    <w:rPr>
                      <w:rFonts w:ascii="Times New Roman" w:hAnsi="Times New Roman" w:cs="Times New Roman"/>
                    </w:rPr>
                    <w:t>Equatorial</w:t>
                  </w:r>
                  <w:proofErr w:type="spellEnd"/>
                  <w:r w:rsidRPr="00BA38C6">
                    <w:rPr>
                      <w:rFonts w:ascii="Times New Roman" w:hAnsi="Times New Roman" w:cs="Times New Roman"/>
                    </w:rPr>
                    <w:t xml:space="preserve"> Guinea, Eritrea, </w:t>
                  </w:r>
                  <w:proofErr w:type="spellStart"/>
                  <w:r w:rsidRPr="00BA38C6">
                    <w:rPr>
                      <w:rFonts w:ascii="Times New Roman" w:hAnsi="Times New Roman" w:cs="Times New Roman"/>
                    </w:rPr>
                    <w:t>Ethiopia</w:t>
                  </w:r>
                  <w:proofErr w:type="spellEnd"/>
                  <w:r w:rsidRPr="00BA38C6">
                    <w:rPr>
                      <w:rFonts w:ascii="Times New Roman" w:hAnsi="Times New Roman" w:cs="Times New Roman"/>
                    </w:rPr>
                    <w:t xml:space="preserve">, Fiji, Gabon, Gambia, Ghana, Grenada, Guinea, Guinea-Bissau, Guyana, Haiti, Ivory </w:t>
                  </w:r>
                  <w:proofErr w:type="spellStart"/>
                  <w:r w:rsidRPr="00BA38C6">
                    <w:rPr>
                      <w:rFonts w:ascii="Times New Roman" w:hAnsi="Times New Roman" w:cs="Times New Roman"/>
                    </w:rPr>
                    <w:t>Coast</w:t>
                  </w:r>
                  <w:proofErr w:type="spellEnd"/>
                  <w:r w:rsidRPr="00BA38C6">
                    <w:rPr>
                      <w:rFonts w:ascii="Times New Roman" w:hAnsi="Times New Roman" w:cs="Times New Roman"/>
                    </w:rPr>
                    <w:t xml:space="preserve">, Jamaica, Kenya, Kiribati, Lesotho, Liberia, Madagascar, Malawi, Mali, Marshall </w:t>
                  </w:r>
                  <w:proofErr w:type="spellStart"/>
                  <w:r w:rsidRPr="00BA38C6">
                    <w:rPr>
                      <w:rFonts w:ascii="Times New Roman" w:hAnsi="Times New Roman" w:cs="Times New Roman"/>
                    </w:rPr>
                    <w:t>Islands</w:t>
                  </w:r>
                  <w:proofErr w:type="spellEnd"/>
                  <w:r w:rsidRPr="00BA38C6">
                    <w:rPr>
                      <w:rFonts w:ascii="Times New Roman" w:hAnsi="Times New Roman" w:cs="Times New Roman"/>
                    </w:rPr>
                    <w:t>, Mauritania, Mauritius, Micronesia-</w:t>
                  </w:r>
                  <w:proofErr w:type="spellStart"/>
                  <w:r w:rsidRPr="00BA38C6">
                    <w:rPr>
                      <w:rFonts w:ascii="Times New Roman" w:hAnsi="Times New Roman" w:cs="Times New Roman"/>
                    </w:rPr>
                    <w:t>Federated</w:t>
                  </w:r>
                  <w:proofErr w:type="spellEnd"/>
                  <w:r w:rsidRPr="00BA38C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A38C6">
                    <w:rPr>
                      <w:rFonts w:ascii="Times New Roman" w:hAnsi="Times New Roman" w:cs="Times New Roman"/>
                    </w:rPr>
                    <w:t>States</w:t>
                  </w:r>
                  <w:proofErr w:type="spellEnd"/>
                  <w:r w:rsidRPr="00BA38C6">
                    <w:rPr>
                      <w:rFonts w:ascii="Times New Roman" w:hAnsi="Times New Roman" w:cs="Times New Roman"/>
                    </w:rPr>
                    <w:t xml:space="preserve"> of, </w:t>
                  </w:r>
                  <w:proofErr w:type="spellStart"/>
                  <w:r w:rsidRPr="00BA38C6">
                    <w:rPr>
                      <w:rFonts w:ascii="Times New Roman" w:hAnsi="Times New Roman" w:cs="Times New Roman"/>
                    </w:rPr>
                    <w:t>Mozambique</w:t>
                  </w:r>
                  <w:proofErr w:type="spellEnd"/>
                  <w:r w:rsidRPr="00BA38C6">
                    <w:rPr>
                      <w:rFonts w:ascii="Times New Roman" w:hAnsi="Times New Roman" w:cs="Times New Roman"/>
                    </w:rPr>
                    <w:t xml:space="preserve">, Namibia, Nauru, Niger, Nigeria, Niue, Palau, Papua New Guinea, </w:t>
                  </w:r>
                  <w:proofErr w:type="spellStart"/>
                  <w:r w:rsidRPr="00BA38C6">
                    <w:rPr>
                      <w:rFonts w:ascii="Times New Roman" w:hAnsi="Times New Roman" w:cs="Times New Roman"/>
                    </w:rPr>
                    <w:t>Rwanda</w:t>
                  </w:r>
                  <w:proofErr w:type="spellEnd"/>
                  <w:r w:rsidRPr="00BA38C6">
                    <w:rPr>
                      <w:rFonts w:ascii="Times New Roman" w:hAnsi="Times New Roman" w:cs="Times New Roman"/>
                    </w:rPr>
                    <w:t xml:space="preserve">, Saint Kitts And </w:t>
                  </w:r>
                  <w:proofErr w:type="spellStart"/>
                  <w:r w:rsidRPr="00BA38C6">
                    <w:rPr>
                      <w:rFonts w:ascii="Times New Roman" w:hAnsi="Times New Roman" w:cs="Times New Roman"/>
                    </w:rPr>
                    <w:t>Nevis</w:t>
                  </w:r>
                  <w:proofErr w:type="spellEnd"/>
                  <w:r w:rsidRPr="00BA38C6">
                    <w:rPr>
                      <w:rFonts w:ascii="Times New Roman" w:hAnsi="Times New Roman" w:cs="Times New Roman"/>
                    </w:rPr>
                    <w:t xml:space="preserve">, Saint Lucia, Saint Vincent And The </w:t>
                  </w:r>
                  <w:proofErr w:type="spellStart"/>
                  <w:r w:rsidRPr="00BA38C6">
                    <w:rPr>
                      <w:rFonts w:ascii="Times New Roman" w:hAnsi="Times New Roman" w:cs="Times New Roman"/>
                    </w:rPr>
                    <w:t>Grenadines</w:t>
                  </w:r>
                  <w:proofErr w:type="spellEnd"/>
                  <w:r w:rsidRPr="00BA38C6">
                    <w:rPr>
                      <w:rFonts w:ascii="Times New Roman" w:hAnsi="Times New Roman" w:cs="Times New Roman"/>
                    </w:rPr>
                    <w:t xml:space="preserve">, Samoa, Sao Tome and Principe, Senegal, Seychelles, Sierra Leone, Solomon </w:t>
                  </w:r>
                  <w:proofErr w:type="spellStart"/>
                  <w:r w:rsidRPr="00BA38C6">
                    <w:rPr>
                      <w:rFonts w:ascii="Times New Roman" w:hAnsi="Times New Roman" w:cs="Times New Roman"/>
                    </w:rPr>
                    <w:t>Islands</w:t>
                  </w:r>
                  <w:proofErr w:type="spellEnd"/>
                  <w:r w:rsidRPr="00BA38C6">
                    <w:rPr>
                      <w:rFonts w:ascii="Times New Roman" w:hAnsi="Times New Roman" w:cs="Times New Roman"/>
                    </w:rPr>
                    <w:t xml:space="preserve">, Somalia, South Sudan, Sudan, Suriname, Swaziland, Timor Leste, </w:t>
                  </w:r>
                  <w:proofErr w:type="spellStart"/>
                  <w:r w:rsidRPr="00BA38C6">
                    <w:rPr>
                      <w:rFonts w:ascii="Times New Roman" w:hAnsi="Times New Roman" w:cs="Times New Roman"/>
                    </w:rPr>
                    <w:t>Democratic</w:t>
                  </w:r>
                  <w:proofErr w:type="spellEnd"/>
                  <w:r w:rsidRPr="00BA38C6">
                    <w:rPr>
                      <w:rFonts w:ascii="Times New Roman" w:hAnsi="Times New Roman" w:cs="Times New Roman"/>
                    </w:rPr>
                    <w:t xml:space="preserve"> Republic of, Tanzania, Togo, Tonga, Trinidad and Tobago, Tuvalu, Uganda, Vanuatu, Zambia, Zimbabwe. </w:t>
                  </w:r>
                </w:p>
              </w:tc>
            </w:tr>
          </w:tbl>
          <w:p w:rsidR="006A294A" w:rsidRPr="00166040" w:rsidRDefault="006A294A" w:rsidP="00DE4D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1DDA" w:rsidRDefault="00061DDA" w:rsidP="00166040">
      <w:pPr>
        <w:jc w:val="both"/>
        <w:rPr>
          <w:rFonts w:ascii="Times New Roman" w:hAnsi="Times New Roman" w:cs="Times New Roman"/>
          <w:b/>
          <w:smallCaps/>
        </w:rPr>
      </w:pPr>
    </w:p>
    <w:p w:rsidR="005F2435" w:rsidRPr="00154284" w:rsidRDefault="005F2435" w:rsidP="00166040">
      <w:pPr>
        <w:jc w:val="both"/>
        <w:rPr>
          <w:rFonts w:ascii="Times New Roman" w:hAnsi="Times New Roman" w:cs="Times New Roman"/>
          <w:i/>
        </w:rPr>
      </w:pPr>
      <w:r w:rsidRPr="00154284">
        <w:rPr>
          <w:rFonts w:ascii="Times New Roman" w:hAnsi="Times New Roman" w:cs="Times New Roman"/>
          <w:i/>
        </w:rPr>
        <w:t xml:space="preserve">Al fine di supportare meglio gli studenti ad acquisire le competenze necessarie per il loro futuro, è stata istituita una partnership tra i programmi Erasmus + e </w:t>
      </w:r>
      <w:proofErr w:type="spellStart"/>
      <w:r w:rsidRPr="00154284">
        <w:rPr>
          <w:rFonts w:ascii="Times New Roman" w:hAnsi="Times New Roman" w:cs="Times New Roman"/>
          <w:i/>
        </w:rPr>
        <w:t>Horizon</w:t>
      </w:r>
      <w:proofErr w:type="spellEnd"/>
      <w:r w:rsidRPr="00154284">
        <w:rPr>
          <w:rFonts w:ascii="Times New Roman" w:hAnsi="Times New Roman" w:cs="Times New Roman"/>
          <w:i/>
        </w:rPr>
        <w:t xml:space="preserve"> 2020. Questa partnership è volta a fornire e promuovere ulteriori opportunità di tirocinio per studenti e neolaureati che desiderano acquisire competenze digitali necessarie per svolgere attività lavorative e prosperare in un'economia e in una società in costante trasformazione digitale. Tali tirocini dovrebbero svolgersi negli Stati membri dell'UE e nei paesi associati a </w:t>
      </w:r>
      <w:proofErr w:type="spellStart"/>
      <w:r w:rsidRPr="00154284">
        <w:rPr>
          <w:rFonts w:ascii="Times New Roman" w:hAnsi="Times New Roman" w:cs="Times New Roman"/>
          <w:i/>
        </w:rPr>
        <w:t>Horizon</w:t>
      </w:r>
      <w:proofErr w:type="spellEnd"/>
      <w:r w:rsidRPr="00154284">
        <w:rPr>
          <w:rFonts w:ascii="Times New Roman" w:hAnsi="Times New Roman" w:cs="Times New Roman"/>
          <w:i/>
        </w:rPr>
        <w:t xml:space="preserve"> 2020. </w:t>
      </w:r>
    </w:p>
    <w:p w:rsidR="005F2435" w:rsidRPr="005F2435" w:rsidRDefault="005F2435" w:rsidP="00166040">
      <w:pPr>
        <w:jc w:val="both"/>
        <w:rPr>
          <w:rFonts w:ascii="Times New Roman" w:hAnsi="Times New Roman" w:cs="Times New Roman"/>
          <w:i/>
        </w:rPr>
      </w:pPr>
      <w:r w:rsidRPr="00154284">
        <w:rPr>
          <w:rFonts w:ascii="Times New Roman" w:hAnsi="Times New Roman" w:cs="Times New Roman"/>
          <w:i/>
        </w:rPr>
        <w:t>A tal proposito è stata creata una specifica regione (</w:t>
      </w:r>
      <w:proofErr w:type="spellStart"/>
      <w:r w:rsidRPr="00154284">
        <w:rPr>
          <w:rFonts w:ascii="Times New Roman" w:hAnsi="Times New Roman" w:cs="Times New Roman"/>
          <w:i/>
        </w:rPr>
        <w:t>region</w:t>
      </w:r>
      <w:proofErr w:type="spellEnd"/>
      <w:r w:rsidRPr="00154284">
        <w:rPr>
          <w:rFonts w:ascii="Times New Roman" w:hAnsi="Times New Roman" w:cs="Times New Roman"/>
          <w:i/>
        </w:rPr>
        <w:t xml:space="preserve"> 14) che include Svizzera e Isole </w:t>
      </w:r>
      <w:proofErr w:type="spellStart"/>
      <w:r w:rsidRPr="00154284">
        <w:rPr>
          <w:rFonts w:ascii="Times New Roman" w:hAnsi="Times New Roman" w:cs="Times New Roman"/>
          <w:i/>
        </w:rPr>
        <w:t>Faroe</w:t>
      </w:r>
      <w:proofErr w:type="spellEnd"/>
      <w:r w:rsidRPr="00154284">
        <w:rPr>
          <w:rFonts w:ascii="Times New Roman" w:hAnsi="Times New Roman" w:cs="Times New Roman"/>
          <w:i/>
        </w:rPr>
        <w:t xml:space="preserve"> attiva per l’azione KA107esclusivamente per tali specifiche attività di </w:t>
      </w:r>
      <w:proofErr w:type="spellStart"/>
      <w:r w:rsidRPr="00154284">
        <w:rPr>
          <w:rFonts w:ascii="Times New Roman" w:hAnsi="Times New Roman" w:cs="Times New Roman"/>
          <w:i/>
        </w:rPr>
        <w:t>Traineeship</w:t>
      </w:r>
      <w:proofErr w:type="spellEnd"/>
      <w:r w:rsidRPr="00154284">
        <w:rPr>
          <w:rFonts w:ascii="Times New Roman" w:hAnsi="Times New Roman" w:cs="Times New Roman"/>
          <w:i/>
        </w:rPr>
        <w:t>.</w:t>
      </w:r>
    </w:p>
    <w:p w:rsidR="005F2435" w:rsidRDefault="005F2435" w:rsidP="00166040">
      <w:pPr>
        <w:jc w:val="both"/>
        <w:rPr>
          <w:rFonts w:ascii="Times New Roman" w:hAnsi="Times New Roman" w:cs="Times New Roman"/>
          <w:b/>
          <w:smallCaps/>
        </w:rPr>
      </w:pPr>
    </w:p>
    <w:p w:rsidR="00B32091" w:rsidRPr="00B32091" w:rsidRDefault="00B32091" w:rsidP="00166040">
      <w:pPr>
        <w:jc w:val="both"/>
        <w:rPr>
          <w:rFonts w:ascii="Times New Roman" w:hAnsi="Times New Roman" w:cs="Times New Roman"/>
          <w:b/>
          <w:smallCaps/>
        </w:rPr>
      </w:pPr>
      <w:r w:rsidRPr="00B32091">
        <w:rPr>
          <w:rFonts w:ascii="Times New Roman" w:hAnsi="Times New Roman" w:cs="Times New Roman"/>
          <w:b/>
          <w:smallCaps/>
          <w:color w:val="FF0000"/>
        </w:rPr>
        <w:t>Regione 14</w:t>
      </w:r>
      <w:r w:rsidRPr="00B32091">
        <w:rPr>
          <w:rFonts w:ascii="Times New Roman" w:hAnsi="Times New Roman" w:cs="Times New Roman"/>
          <w:b/>
          <w:smallCaps/>
        </w:rPr>
        <w:t xml:space="preserve"> </w:t>
      </w:r>
      <w:r w:rsidRPr="00B32091">
        <w:rPr>
          <w:rFonts w:ascii="Times New Roman" w:hAnsi="Times New Roman" w:cs="Times New Roman"/>
          <w:smallCaps/>
          <w:color w:val="FF0000"/>
        </w:rPr>
        <w:t xml:space="preserve">(valida esclusivamente per </w:t>
      </w:r>
      <w:proofErr w:type="spellStart"/>
      <w:r w:rsidR="00154284">
        <w:rPr>
          <w:rFonts w:ascii="Times New Roman" w:hAnsi="Times New Roman" w:cs="Times New Roman"/>
          <w:smallCaps/>
          <w:color w:val="FF0000"/>
        </w:rPr>
        <w:t>mobili</w:t>
      </w:r>
      <w:r w:rsidRPr="00B32091">
        <w:rPr>
          <w:rFonts w:ascii="Times New Roman" w:hAnsi="Times New Roman" w:cs="Times New Roman"/>
          <w:smallCaps/>
          <w:color w:val="FF0000"/>
        </w:rPr>
        <w:t>ta’</w:t>
      </w:r>
      <w:proofErr w:type="spellEnd"/>
      <w:r w:rsidRPr="00B32091">
        <w:rPr>
          <w:rFonts w:ascii="Times New Roman" w:hAnsi="Times New Roman" w:cs="Times New Roman"/>
          <w:smallCaps/>
          <w:color w:val="FF0000"/>
        </w:rPr>
        <w:t xml:space="preserve"> </w:t>
      </w:r>
      <w:proofErr w:type="spellStart"/>
      <w:r w:rsidRPr="00B32091">
        <w:rPr>
          <w:rFonts w:ascii="Times New Roman" w:hAnsi="Times New Roman" w:cs="Times New Roman"/>
          <w:smallCaps/>
          <w:color w:val="FF0000"/>
        </w:rPr>
        <w:t>Traine</w:t>
      </w:r>
      <w:r w:rsidR="00181510">
        <w:rPr>
          <w:rFonts w:ascii="Times New Roman" w:hAnsi="Times New Roman" w:cs="Times New Roman"/>
          <w:smallCaps/>
          <w:color w:val="FF0000"/>
        </w:rPr>
        <w:t>eshi</w:t>
      </w:r>
      <w:r w:rsidRPr="00B32091">
        <w:rPr>
          <w:rFonts w:ascii="Times New Roman" w:hAnsi="Times New Roman" w:cs="Times New Roman"/>
          <w:smallCaps/>
          <w:color w:val="FF0000"/>
        </w:rPr>
        <w:t>p</w:t>
      </w:r>
      <w:proofErr w:type="spellEnd"/>
      <w:r w:rsidR="00154284">
        <w:rPr>
          <w:rFonts w:ascii="Times New Roman" w:hAnsi="Times New Roman" w:cs="Times New Roman"/>
          <w:smallCaps/>
          <w:color w:val="FF0000"/>
        </w:rPr>
        <w:t xml:space="preserve"> </w:t>
      </w:r>
      <w:r w:rsidR="00154284" w:rsidRPr="00B32091">
        <w:rPr>
          <w:rFonts w:ascii="Times New Roman" w:hAnsi="Times New Roman" w:cs="Times New Roman"/>
          <w:smallCaps/>
          <w:color w:val="FF0000"/>
        </w:rPr>
        <w:t xml:space="preserve">in </w:t>
      </w:r>
      <w:proofErr w:type="spellStart"/>
      <w:r w:rsidR="00154284" w:rsidRPr="00B32091">
        <w:rPr>
          <w:rFonts w:ascii="Times New Roman" w:hAnsi="Times New Roman" w:cs="Times New Roman"/>
          <w:smallCaps/>
          <w:color w:val="FF0000"/>
        </w:rPr>
        <w:t>digital</w:t>
      </w:r>
      <w:proofErr w:type="spellEnd"/>
      <w:r w:rsidR="00154284" w:rsidRPr="00B32091">
        <w:rPr>
          <w:rFonts w:ascii="Times New Roman" w:hAnsi="Times New Roman" w:cs="Times New Roman"/>
          <w:smallCaps/>
          <w:color w:val="FF0000"/>
        </w:rPr>
        <w:t xml:space="preserve"> </w:t>
      </w:r>
      <w:proofErr w:type="spellStart"/>
      <w:r w:rsidR="00154284" w:rsidRPr="00B32091">
        <w:rPr>
          <w:rFonts w:ascii="Times New Roman" w:hAnsi="Times New Roman" w:cs="Times New Roman"/>
          <w:smallCaps/>
          <w:color w:val="FF0000"/>
        </w:rPr>
        <w:t>skills</w:t>
      </w:r>
      <w:proofErr w:type="spellEnd"/>
      <w:r>
        <w:rPr>
          <w:rFonts w:ascii="Times New Roman" w:hAnsi="Times New Roman" w:cs="Times New Roman"/>
          <w:smallCaps/>
          <w:color w:val="FF0000"/>
        </w:rPr>
        <w:t xml:space="preserve"> </w:t>
      </w:r>
      <w:proofErr w:type="spellStart"/>
      <w:r w:rsidR="00181510">
        <w:rPr>
          <w:rFonts w:ascii="Times New Roman" w:hAnsi="Times New Roman" w:cs="Times New Roman"/>
          <w:smallCaps/>
          <w:color w:val="FF0000"/>
        </w:rPr>
        <w:t>outgoing</w:t>
      </w:r>
      <w:proofErr w:type="spellEnd"/>
      <w:r w:rsidR="00181510">
        <w:rPr>
          <w:rFonts w:ascii="Times New Roman" w:hAnsi="Times New Roman" w:cs="Times New Roman"/>
          <w:smallCaps/>
          <w:color w:val="FF0000"/>
        </w:rPr>
        <w:t xml:space="preserve"> </w:t>
      </w:r>
      <w:r w:rsidR="00154284">
        <w:rPr>
          <w:rFonts w:ascii="Times New Roman" w:hAnsi="Times New Roman" w:cs="Times New Roman"/>
          <w:smallCaps/>
          <w:color w:val="FF0000"/>
        </w:rPr>
        <w:t xml:space="preserve">dai </w:t>
      </w:r>
      <w:proofErr w:type="spellStart"/>
      <w:r w:rsidR="00154284">
        <w:rPr>
          <w:rFonts w:ascii="Times New Roman" w:hAnsi="Times New Roman" w:cs="Times New Roman"/>
          <w:smallCaps/>
          <w:color w:val="FF0000"/>
        </w:rPr>
        <w:t>Programme</w:t>
      </w:r>
      <w:proofErr w:type="spellEnd"/>
      <w:r w:rsidR="00154284">
        <w:rPr>
          <w:rFonts w:ascii="Times New Roman" w:hAnsi="Times New Roman" w:cs="Times New Roman"/>
          <w:smallCaps/>
          <w:color w:val="FF0000"/>
        </w:rPr>
        <w:t xml:space="preserve"> </w:t>
      </w:r>
      <w:proofErr w:type="spellStart"/>
      <w:proofErr w:type="gramStart"/>
      <w:r w:rsidR="00154284">
        <w:rPr>
          <w:rFonts w:ascii="Times New Roman" w:hAnsi="Times New Roman" w:cs="Times New Roman"/>
          <w:smallCaps/>
          <w:color w:val="FF0000"/>
        </w:rPr>
        <w:t>Countries</w:t>
      </w:r>
      <w:proofErr w:type="spellEnd"/>
      <w:r w:rsidR="00154284">
        <w:rPr>
          <w:rFonts w:ascii="Times New Roman" w:hAnsi="Times New Roman" w:cs="Times New Roman"/>
          <w:smallCaps/>
          <w:color w:val="FF0000"/>
        </w:rPr>
        <w:t xml:space="preserve"> </w:t>
      </w:r>
      <w:r w:rsidRPr="00B32091">
        <w:rPr>
          <w:rFonts w:ascii="Times New Roman" w:hAnsi="Times New Roman" w:cs="Times New Roman"/>
          <w:smallCaps/>
          <w:color w:val="FF0000"/>
        </w:rPr>
        <w:t>)</w:t>
      </w:r>
      <w:proofErr w:type="gramEnd"/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7"/>
      </w:tblGrid>
      <w:tr w:rsidR="0001389C" w:rsidRPr="00166040" w:rsidTr="0001389C">
        <w:trPr>
          <w:trHeight w:val="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9C" w:rsidRPr="00166040" w:rsidRDefault="0001389C" w:rsidP="000F5F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Faroe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Islands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Switzerland</w:t>
            </w:r>
            <w:proofErr w:type="spellEnd"/>
          </w:p>
        </w:tc>
      </w:tr>
    </w:tbl>
    <w:p w:rsidR="00B32091" w:rsidRPr="00166040" w:rsidRDefault="00B32091" w:rsidP="00166040">
      <w:pPr>
        <w:jc w:val="both"/>
        <w:rPr>
          <w:rFonts w:ascii="Times New Roman" w:hAnsi="Times New Roman" w:cs="Times New Roman"/>
          <w:b/>
          <w:smallCaps/>
        </w:rPr>
      </w:pPr>
    </w:p>
    <w:p w:rsidR="00166040" w:rsidRDefault="00166040" w:rsidP="00166040">
      <w:pPr>
        <w:jc w:val="both"/>
        <w:rPr>
          <w:rFonts w:ascii="Times New Roman" w:hAnsi="Times New Roman" w:cs="Times New Roman"/>
          <w:b/>
          <w:smallCaps/>
        </w:rPr>
      </w:pPr>
    </w:p>
    <w:p w:rsidR="0001389C" w:rsidRDefault="0001389C" w:rsidP="00166040">
      <w:pPr>
        <w:jc w:val="both"/>
        <w:rPr>
          <w:rFonts w:ascii="Times New Roman" w:hAnsi="Times New Roman" w:cs="Times New Roman"/>
          <w:b/>
          <w:smallCaps/>
        </w:rPr>
      </w:pPr>
    </w:p>
    <w:p w:rsidR="007976DC" w:rsidRPr="00166040" w:rsidRDefault="00A1479C" w:rsidP="001660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>Budget</w:t>
      </w:r>
      <w:r w:rsidR="00061DDA" w:rsidRPr="00166040">
        <w:rPr>
          <w:rFonts w:ascii="Times New Roman" w:hAnsi="Times New Roman" w:cs="Times New Roman"/>
          <w:b/>
          <w:smallCaps/>
        </w:rPr>
        <w:t xml:space="preserve"> differenti seguono regole differenti</w:t>
      </w:r>
    </w:p>
    <w:p w:rsidR="00061DDA" w:rsidRPr="00166040" w:rsidRDefault="007976DC" w:rsidP="00166040">
      <w:pPr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 xml:space="preserve">I diversi strumenti finanziari prevedono il raggiungimento di obiettivi specifici che dovranno essere raggiunti nell’arco dei sette anni di durata del Programma Erasmus a livello europeo. </w:t>
      </w:r>
    </w:p>
    <w:p w:rsidR="007976DC" w:rsidRPr="00166040" w:rsidRDefault="007976DC" w:rsidP="00166040">
      <w:pPr>
        <w:jc w:val="both"/>
        <w:rPr>
          <w:rFonts w:ascii="Times New Roman" w:hAnsi="Times New Roman" w:cs="Times New Roman"/>
        </w:rPr>
      </w:pPr>
    </w:p>
    <w:p w:rsidR="00061DDA" w:rsidRPr="00166040" w:rsidRDefault="007976DC" w:rsidP="00166040">
      <w:pPr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>I</w:t>
      </w:r>
      <w:r w:rsidR="00061DDA" w:rsidRPr="00166040">
        <w:rPr>
          <w:rFonts w:ascii="Times New Roman" w:hAnsi="Times New Roman" w:cs="Times New Roman"/>
        </w:rPr>
        <w:t xml:space="preserve"> budget </w:t>
      </w:r>
      <w:r w:rsidR="00061DDA" w:rsidRPr="00166040">
        <w:rPr>
          <w:rFonts w:ascii="Times New Roman" w:hAnsi="Times New Roman" w:cs="Times New Roman"/>
          <w:b/>
        </w:rPr>
        <w:t>DCI</w:t>
      </w:r>
      <w:r w:rsidRPr="00166040">
        <w:rPr>
          <w:rFonts w:ascii="Times New Roman" w:hAnsi="Times New Roman" w:cs="Times New Roman"/>
        </w:rPr>
        <w:t xml:space="preserve"> </w:t>
      </w:r>
      <w:r w:rsidR="001A4F2F">
        <w:rPr>
          <w:rFonts w:ascii="Times New Roman" w:hAnsi="Times New Roman" w:cs="Times New Roman"/>
        </w:rPr>
        <w:t xml:space="preserve">ed </w:t>
      </w:r>
      <w:r w:rsidR="001A4F2F" w:rsidRPr="001A4F2F">
        <w:rPr>
          <w:rFonts w:ascii="Times New Roman" w:hAnsi="Times New Roman" w:cs="Times New Roman"/>
          <w:b/>
        </w:rPr>
        <w:t>EDF</w:t>
      </w:r>
      <w:r w:rsidR="001A4F2F">
        <w:rPr>
          <w:rFonts w:ascii="Times New Roman" w:hAnsi="Times New Roman" w:cs="Times New Roman"/>
        </w:rPr>
        <w:t xml:space="preserve"> </w:t>
      </w:r>
      <w:r w:rsidR="00061DDA" w:rsidRPr="001A4F2F">
        <w:rPr>
          <w:rFonts w:ascii="Times New Roman" w:hAnsi="Times New Roman" w:cs="Times New Roman"/>
          <w:u w:val="single"/>
        </w:rPr>
        <w:t xml:space="preserve">non </w:t>
      </w:r>
      <w:r w:rsidR="001A4F2F" w:rsidRPr="001A4F2F">
        <w:rPr>
          <w:rFonts w:ascii="Times New Roman" w:hAnsi="Times New Roman" w:cs="Times New Roman"/>
          <w:u w:val="single"/>
        </w:rPr>
        <w:t>possono</w:t>
      </w:r>
      <w:r w:rsidRPr="001A4F2F">
        <w:rPr>
          <w:rFonts w:ascii="Times New Roman" w:hAnsi="Times New Roman" w:cs="Times New Roman"/>
          <w:u w:val="single"/>
        </w:rPr>
        <w:t xml:space="preserve"> finanziar</w:t>
      </w:r>
      <w:r w:rsidR="00061DDA" w:rsidRPr="001A4F2F">
        <w:rPr>
          <w:rFonts w:ascii="Times New Roman" w:hAnsi="Times New Roman" w:cs="Times New Roman"/>
          <w:u w:val="single"/>
        </w:rPr>
        <w:t xml:space="preserve">e le mobilità </w:t>
      </w:r>
      <w:r w:rsidR="00061DDA" w:rsidRPr="00154284">
        <w:rPr>
          <w:rFonts w:ascii="Times New Roman" w:hAnsi="Times New Roman" w:cs="Times New Roman"/>
          <w:u w:val="single"/>
        </w:rPr>
        <w:t xml:space="preserve">in uscita </w:t>
      </w:r>
      <w:r w:rsidR="00B32091" w:rsidRPr="00154284">
        <w:rPr>
          <w:rFonts w:ascii="Times New Roman" w:hAnsi="Times New Roman" w:cs="Times New Roman"/>
          <w:u w:val="single"/>
        </w:rPr>
        <w:t xml:space="preserve">per Studio o </w:t>
      </w:r>
      <w:proofErr w:type="spellStart"/>
      <w:r w:rsidR="00B32091" w:rsidRPr="00154284">
        <w:rPr>
          <w:rFonts w:ascii="Times New Roman" w:hAnsi="Times New Roman" w:cs="Times New Roman"/>
          <w:u w:val="single"/>
        </w:rPr>
        <w:t>Traineeship</w:t>
      </w:r>
      <w:proofErr w:type="spellEnd"/>
      <w:r w:rsidR="00B32091" w:rsidRPr="00154284">
        <w:rPr>
          <w:rFonts w:ascii="Times New Roman" w:hAnsi="Times New Roman" w:cs="Times New Roman"/>
          <w:u w:val="single"/>
        </w:rPr>
        <w:t xml:space="preserve"> </w:t>
      </w:r>
      <w:r w:rsidR="00061DDA" w:rsidRPr="00154284">
        <w:rPr>
          <w:rFonts w:ascii="Times New Roman" w:hAnsi="Times New Roman" w:cs="Times New Roman"/>
          <w:u w:val="single"/>
        </w:rPr>
        <w:t>del pri</w:t>
      </w:r>
      <w:r w:rsidR="00061DDA" w:rsidRPr="001A4F2F">
        <w:rPr>
          <w:rFonts w:ascii="Times New Roman" w:hAnsi="Times New Roman" w:cs="Times New Roman"/>
          <w:u w:val="single"/>
        </w:rPr>
        <w:t>mo o secondo ciclo</w:t>
      </w:r>
      <w:r w:rsidR="00061DDA" w:rsidRPr="00166040">
        <w:rPr>
          <w:rFonts w:ascii="Times New Roman" w:hAnsi="Times New Roman" w:cs="Times New Roman"/>
        </w:rPr>
        <w:t xml:space="preserve">, ma solo </w:t>
      </w:r>
      <w:r w:rsidRPr="00166040">
        <w:rPr>
          <w:rFonts w:ascii="Times New Roman" w:hAnsi="Times New Roman" w:cs="Times New Roman"/>
        </w:rPr>
        <w:t>de</w:t>
      </w:r>
      <w:r w:rsidR="00934221">
        <w:rPr>
          <w:rFonts w:ascii="Times New Roman" w:hAnsi="Times New Roman" w:cs="Times New Roman"/>
        </w:rPr>
        <w:t xml:space="preserve">gli </w:t>
      </w:r>
      <w:r w:rsidR="00154284">
        <w:rPr>
          <w:rFonts w:ascii="Times New Roman" w:hAnsi="Times New Roman" w:cs="Times New Roman"/>
        </w:rPr>
        <w:t xml:space="preserve">studenti </w:t>
      </w:r>
      <w:r w:rsidR="00934221">
        <w:rPr>
          <w:rFonts w:ascii="Times New Roman" w:hAnsi="Times New Roman" w:cs="Times New Roman"/>
        </w:rPr>
        <w:t>del III ciclo</w:t>
      </w:r>
      <w:r w:rsidR="00061DDA" w:rsidRPr="00166040">
        <w:rPr>
          <w:rFonts w:ascii="Times New Roman" w:hAnsi="Times New Roman" w:cs="Times New Roman"/>
        </w:rPr>
        <w:t xml:space="preserve"> o</w:t>
      </w:r>
      <w:r w:rsidRPr="00166040">
        <w:rPr>
          <w:rFonts w:ascii="Times New Roman" w:hAnsi="Times New Roman" w:cs="Times New Roman"/>
        </w:rPr>
        <w:t xml:space="preserve"> dello</w:t>
      </w:r>
      <w:r w:rsidR="00061DDA" w:rsidRPr="00166040">
        <w:rPr>
          <w:rFonts w:ascii="Times New Roman" w:hAnsi="Times New Roman" w:cs="Times New Roman"/>
        </w:rPr>
        <w:t xml:space="preserve"> staff.</w:t>
      </w:r>
      <w:r w:rsidR="001A4F2F">
        <w:rPr>
          <w:rFonts w:ascii="Times New Roman" w:hAnsi="Times New Roman" w:cs="Times New Roman"/>
        </w:rPr>
        <w:t xml:space="preserve"> Nessuna restrizione per le mobilità in ingresso.</w:t>
      </w:r>
    </w:p>
    <w:p w:rsidR="003560BB" w:rsidRPr="00166040" w:rsidRDefault="003560BB" w:rsidP="00166040">
      <w:pPr>
        <w:jc w:val="both"/>
        <w:rPr>
          <w:rFonts w:ascii="Times New Roman" w:hAnsi="Times New Roman" w:cs="Times New Roman"/>
        </w:rPr>
      </w:pPr>
    </w:p>
    <w:p w:rsidR="00061DDA" w:rsidRPr="00166040" w:rsidRDefault="00061DDA" w:rsidP="00166040">
      <w:pPr>
        <w:spacing w:before="240"/>
        <w:jc w:val="both"/>
        <w:rPr>
          <w:rFonts w:ascii="Times New Roman" w:hAnsi="Times New Roman" w:cs="Times New Roman"/>
          <w:b/>
          <w:smallCaps/>
        </w:rPr>
      </w:pPr>
      <w:r w:rsidRPr="00166040">
        <w:rPr>
          <w:rFonts w:ascii="Times New Roman" w:hAnsi="Times New Roman" w:cs="Times New Roman"/>
          <w:b/>
          <w:smallCaps/>
        </w:rPr>
        <w:t xml:space="preserve">Principali Criteri di valutazione </w:t>
      </w:r>
      <w:r w:rsidR="007976DC" w:rsidRPr="00166040">
        <w:rPr>
          <w:rFonts w:ascii="Times New Roman" w:hAnsi="Times New Roman" w:cs="Times New Roman"/>
          <w:b/>
          <w:smallCaps/>
        </w:rPr>
        <w:t>qualitativa</w:t>
      </w:r>
    </w:p>
    <w:p w:rsidR="00061DDA" w:rsidRDefault="00061DDA" w:rsidP="00166040">
      <w:pPr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>Vi sono 4 principali criteri di valutazione per la mobilità internazionale:</w:t>
      </w:r>
    </w:p>
    <w:p w:rsidR="00A1479C" w:rsidRDefault="00A1479C" w:rsidP="00A14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essere eleggibile al finanziamento una candidatura deve ottenere almeno 60 punti totali e almeno 15 punti per il primo criterio (pertinenza della strategia)</w:t>
      </w:r>
    </w:p>
    <w:p w:rsidR="00A1479C" w:rsidRDefault="00A1479C" w:rsidP="00166040">
      <w:pPr>
        <w:jc w:val="both"/>
        <w:rPr>
          <w:rFonts w:ascii="Times New Roman" w:hAnsi="Times New Roman" w:cs="Times New Roman"/>
        </w:rPr>
      </w:pPr>
    </w:p>
    <w:p w:rsidR="00B32091" w:rsidRDefault="00B32091" w:rsidP="00166040">
      <w:pPr>
        <w:jc w:val="both"/>
        <w:rPr>
          <w:rFonts w:ascii="Times New Roman" w:hAnsi="Times New Roman" w:cs="Times New Roman"/>
        </w:rPr>
      </w:pPr>
    </w:p>
    <w:p w:rsidR="00B32091" w:rsidRPr="00166040" w:rsidRDefault="00B32091" w:rsidP="00166040">
      <w:pPr>
        <w:jc w:val="both"/>
        <w:rPr>
          <w:rFonts w:ascii="Times New Roman" w:hAnsi="Times New Roman" w:cs="Times New Roman"/>
        </w:rPr>
      </w:pPr>
    </w:p>
    <w:p w:rsidR="00061DDA" w:rsidRPr="00166040" w:rsidRDefault="00B32091" w:rsidP="00166040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Pertinenza della strategia: </w:t>
      </w:r>
      <w:r w:rsidR="00B15F0E">
        <w:rPr>
          <w:rFonts w:ascii="Times New Roman" w:hAnsi="Times New Roman" w:cs="Times New Roman"/>
        </w:rPr>
        <w:t>(</w:t>
      </w:r>
      <w:proofErr w:type="spellStart"/>
      <w:r w:rsidR="00B15F0E">
        <w:rPr>
          <w:rFonts w:ascii="Times New Roman" w:hAnsi="Times New Roman" w:cs="Times New Roman"/>
        </w:rPr>
        <w:t>max</w:t>
      </w:r>
      <w:proofErr w:type="spellEnd"/>
      <w:r w:rsidR="00B15F0E">
        <w:rPr>
          <w:rFonts w:ascii="Times New Roman" w:hAnsi="Times New Roman" w:cs="Times New Roman"/>
        </w:rPr>
        <w:t xml:space="preserve"> 30 punti)</w:t>
      </w:r>
    </w:p>
    <w:p w:rsidR="00061DDA" w:rsidRDefault="00061DDA" w:rsidP="00166040">
      <w:pPr>
        <w:ind w:left="1080"/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>I candidati devono spiegare le ragioni per cui il progetto di mobilità pianificato è pertinente rispetto alla strategia di internazionalizzazione degli Istituti di Istruzione Superiore dei Paesi partecipanti al Programma e degli Istituti di Istruzione Superiore de</w:t>
      </w:r>
      <w:r w:rsidR="00B72652">
        <w:rPr>
          <w:rFonts w:ascii="Times New Roman" w:hAnsi="Times New Roman" w:cs="Times New Roman"/>
        </w:rPr>
        <w:t>i Paesi Partner coinvolti, nonché</w:t>
      </w:r>
      <w:r w:rsidRPr="00166040">
        <w:rPr>
          <w:rFonts w:ascii="Times New Roman" w:hAnsi="Times New Roman" w:cs="Times New Roman"/>
        </w:rPr>
        <w:t xml:space="preserve"> giustificare i(l) tipi(o) di mobilità proposti(o) (studenti e/o staff) in entrata e/o in uscita.</w:t>
      </w:r>
    </w:p>
    <w:p w:rsidR="00A1479C" w:rsidRPr="00166040" w:rsidRDefault="00A1479C" w:rsidP="00A1479C">
      <w:pPr>
        <w:ind w:left="1080"/>
        <w:jc w:val="both"/>
        <w:rPr>
          <w:rFonts w:ascii="Times New Roman" w:hAnsi="Times New Roman" w:cs="Times New Roman"/>
        </w:rPr>
      </w:pPr>
    </w:p>
    <w:p w:rsidR="00061DDA" w:rsidRPr="00166040" w:rsidRDefault="00061DDA" w:rsidP="00166040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>Qualit</w:t>
      </w:r>
      <w:r w:rsidR="00544C71">
        <w:rPr>
          <w:rFonts w:ascii="Times New Roman" w:hAnsi="Times New Roman" w:cs="Times New Roman"/>
        </w:rPr>
        <w:t xml:space="preserve">à degli accordi di cooperazione </w:t>
      </w:r>
      <w:r w:rsidR="00B15F0E">
        <w:rPr>
          <w:rFonts w:ascii="Times New Roman" w:hAnsi="Times New Roman" w:cs="Times New Roman"/>
        </w:rPr>
        <w:t>(</w:t>
      </w:r>
      <w:proofErr w:type="spellStart"/>
      <w:r w:rsidR="00B15F0E">
        <w:rPr>
          <w:rFonts w:ascii="Times New Roman" w:hAnsi="Times New Roman" w:cs="Times New Roman"/>
        </w:rPr>
        <w:t>max</w:t>
      </w:r>
      <w:proofErr w:type="spellEnd"/>
      <w:r w:rsidR="00B15F0E">
        <w:rPr>
          <w:rFonts w:ascii="Times New Roman" w:hAnsi="Times New Roman" w:cs="Times New Roman"/>
        </w:rPr>
        <w:t xml:space="preserve"> 30 punti)</w:t>
      </w:r>
    </w:p>
    <w:p w:rsidR="00061DDA" w:rsidRDefault="00A1479C" w:rsidP="00166040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61DDA" w:rsidRPr="00166040">
        <w:rPr>
          <w:rFonts w:ascii="Times New Roman" w:hAnsi="Times New Roman" w:cs="Times New Roman"/>
        </w:rPr>
        <w:t>ve presente, i candidati devono dar conto della loro precedente esperienza di gestione di analoghi progetti con Istituti di Istruzione Superiore nel Paese Partner</w:t>
      </w:r>
      <w:r w:rsidR="00154284">
        <w:rPr>
          <w:rFonts w:ascii="Times New Roman" w:hAnsi="Times New Roman" w:cs="Times New Roman"/>
        </w:rPr>
        <w:t xml:space="preserve"> </w:t>
      </w:r>
      <w:r w:rsidR="00154284" w:rsidRPr="00593814">
        <w:rPr>
          <w:rFonts w:ascii="Times New Roman" w:hAnsi="Times New Roman" w:cs="Times New Roman"/>
        </w:rPr>
        <w:t>ed enti non accademici sia nei Paesi del programma che nei Paesi Partner</w:t>
      </w:r>
      <w:r w:rsidR="00061DDA" w:rsidRPr="00593814">
        <w:rPr>
          <w:rFonts w:ascii="Times New Roman" w:hAnsi="Times New Roman" w:cs="Times New Roman"/>
        </w:rPr>
        <w:t>,</w:t>
      </w:r>
      <w:r w:rsidR="00061DDA" w:rsidRPr="00166040">
        <w:rPr>
          <w:rFonts w:ascii="Times New Roman" w:hAnsi="Times New Roman" w:cs="Times New Roman"/>
        </w:rPr>
        <w:t xml:space="preserve"> e spiegare in quale modo, con riferimento al progetto di mobilità pianificato, responsabilità, ruoli e compiti saranno definiti nell’Accordo Inter</w:t>
      </w:r>
      <w:r>
        <w:rPr>
          <w:rFonts w:ascii="Times New Roman" w:hAnsi="Times New Roman" w:cs="Times New Roman"/>
        </w:rPr>
        <w:t>-</w:t>
      </w:r>
      <w:r w:rsidR="00061DDA" w:rsidRPr="00166040">
        <w:rPr>
          <w:rFonts w:ascii="Times New Roman" w:hAnsi="Times New Roman" w:cs="Times New Roman"/>
        </w:rPr>
        <w:t>istituzionale.</w:t>
      </w:r>
    </w:p>
    <w:p w:rsidR="00B15F0E" w:rsidRPr="00166040" w:rsidRDefault="00B15F0E" w:rsidP="00166040">
      <w:pPr>
        <w:ind w:left="1080"/>
        <w:jc w:val="both"/>
        <w:rPr>
          <w:rFonts w:ascii="Times New Roman" w:hAnsi="Times New Roman" w:cs="Times New Roman"/>
        </w:rPr>
      </w:pPr>
    </w:p>
    <w:p w:rsidR="00061DDA" w:rsidRPr="00166040" w:rsidRDefault="00061DDA" w:rsidP="00166040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>Qualità dell’elaborazione e dell’attuazione del progetto</w:t>
      </w:r>
      <w:r w:rsidR="00544C71">
        <w:rPr>
          <w:rFonts w:ascii="Times New Roman" w:hAnsi="Times New Roman" w:cs="Times New Roman"/>
        </w:rPr>
        <w:t xml:space="preserve"> </w:t>
      </w:r>
      <w:r w:rsidR="00B15F0E">
        <w:rPr>
          <w:rFonts w:ascii="Times New Roman" w:hAnsi="Times New Roman" w:cs="Times New Roman"/>
        </w:rPr>
        <w:t>(</w:t>
      </w:r>
      <w:proofErr w:type="spellStart"/>
      <w:r w:rsidR="00B15F0E">
        <w:rPr>
          <w:rFonts w:ascii="Times New Roman" w:hAnsi="Times New Roman" w:cs="Times New Roman"/>
        </w:rPr>
        <w:t>max</w:t>
      </w:r>
      <w:proofErr w:type="spellEnd"/>
      <w:r w:rsidR="00B15F0E">
        <w:rPr>
          <w:rFonts w:ascii="Times New Roman" w:hAnsi="Times New Roman" w:cs="Times New Roman"/>
        </w:rPr>
        <w:t xml:space="preserve"> 20 punti)</w:t>
      </w:r>
    </w:p>
    <w:p w:rsidR="00061DDA" w:rsidRDefault="00061DDA" w:rsidP="00166040">
      <w:pPr>
        <w:ind w:left="1080"/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>I candidati devono illustrare le diverse fasi del progetto di mobilità e riassumere ciò che le organizzazioni partner intendono porre in essere dal punto di vista della selezione dei partecipanti, del tipo di supporto che sarà loro offerto e del riconoscimento dei periodi di mobilità (in</w:t>
      </w:r>
      <w:r w:rsidR="00154284">
        <w:rPr>
          <w:rFonts w:ascii="Times New Roman" w:hAnsi="Times New Roman" w:cs="Times New Roman"/>
        </w:rPr>
        <w:t xml:space="preserve"> particolare nel Paese Partner), </w:t>
      </w:r>
      <w:r w:rsidR="00154284" w:rsidRPr="00593814">
        <w:rPr>
          <w:rFonts w:ascii="Times New Roman" w:hAnsi="Times New Roman" w:cs="Times New Roman"/>
        </w:rPr>
        <w:t xml:space="preserve">nonché degli specifici meccanismi posti in essere per l’assicurazione della qualità delle mobilità per </w:t>
      </w:r>
      <w:proofErr w:type="spellStart"/>
      <w:r w:rsidR="00154284" w:rsidRPr="00593814">
        <w:rPr>
          <w:rFonts w:ascii="Times New Roman" w:hAnsi="Times New Roman" w:cs="Times New Roman"/>
        </w:rPr>
        <w:t>traineeship</w:t>
      </w:r>
      <w:proofErr w:type="spellEnd"/>
      <w:r w:rsidR="00154284" w:rsidRPr="00593814">
        <w:rPr>
          <w:rFonts w:ascii="Times New Roman" w:hAnsi="Times New Roman" w:cs="Times New Roman"/>
        </w:rPr>
        <w:t>, nel caso in cui tali mobilità siano previste.</w:t>
      </w:r>
    </w:p>
    <w:p w:rsidR="00B15F0E" w:rsidRDefault="00B15F0E" w:rsidP="00166040">
      <w:pPr>
        <w:ind w:left="1080"/>
        <w:jc w:val="both"/>
        <w:rPr>
          <w:rFonts w:ascii="Times New Roman" w:hAnsi="Times New Roman" w:cs="Times New Roman"/>
        </w:rPr>
      </w:pPr>
    </w:p>
    <w:p w:rsidR="00181510" w:rsidRPr="00166040" w:rsidRDefault="00181510" w:rsidP="00166040">
      <w:pPr>
        <w:ind w:left="1080"/>
        <w:jc w:val="both"/>
        <w:rPr>
          <w:rFonts w:ascii="Times New Roman" w:hAnsi="Times New Roman" w:cs="Times New Roman"/>
        </w:rPr>
      </w:pPr>
    </w:p>
    <w:p w:rsidR="00061DDA" w:rsidRPr="00166040" w:rsidRDefault="00061DDA" w:rsidP="00166040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>Impatto e disseminazione</w:t>
      </w:r>
      <w:r w:rsidR="00B32091">
        <w:rPr>
          <w:rFonts w:ascii="Times New Roman" w:hAnsi="Times New Roman" w:cs="Times New Roman"/>
        </w:rPr>
        <w:tab/>
      </w:r>
      <w:r w:rsidR="00B15F0E">
        <w:rPr>
          <w:rFonts w:ascii="Times New Roman" w:hAnsi="Times New Roman" w:cs="Times New Roman"/>
        </w:rPr>
        <w:t xml:space="preserve"> (</w:t>
      </w:r>
      <w:proofErr w:type="spellStart"/>
      <w:r w:rsidR="00B15F0E">
        <w:rPr>
          <w:rFonts w:ascii="Times New Roman" w:hAnsi="Times New Roman" w:cs="Times New Roman"/>
        </w:rPr>
        <w:t>m</w:t>
      </w:r>
      <w:r w:rsidR="00A1479C">
        <w:rPr>
          <w:rFonts w:ascii="Times New Roman" w:hAnsi="Times New Roman" w:cs="Times New Roman"/>
        </w:rPr>
        <w:t>a</w:t>
      </w:r>
      <w:r w:rsidR="00B15F0E">
        <w:rPr>
          <w:rFonts w:ascii="Times New Roman" w:hAnsi="Times New Roman" w:cs="Times New Roman"/>
        </w:rPr>
        <w:t>x</w:t>
      </w:r>
      <w:proofErr w:type="spellEnd"/>
      <w:r w:rsidR="00B15F0E">
        <w:rPr>
          <w:rFonts w:ascii="Times New Roman" w:hAnsi="Times New Roman" w:cs="Times New Roman"/>
        </w:rPr>
        <w:t xml:space="preserve"> 20 punti)</w:t>
      </w:r>
    </w:p>
    <w:p w:rsidR="00D02944" w:rsidRDefault="00061DDA" w:rsidP="00F36585">
      <w:pPr>
        <w:ind w:left="1080"/>
        <w:jc w:val="both"/>
        <w:rPr>
          <w:rFonts w:ascii="Times New Roman" w:hAnsi="Times New Roman" w:cs="Times New Roman"/>
        </w:rPr>
      </w:pPr>
      <w:r w:rsidRPr="00166040">
        <w:rPr>
          <w:rFonts w:ascii="Times New Roman" w:hAnsi="Times New Roman" w:cs="Times New Roman"/>
        </w:rPr>
        <w:t xml:space="preserve">I candidati devono giustificare l’impatto atteso del progetto di mobilità sui partecipanti, sui beneficiari, e sulle organizzazioni partner, a livello locale, regionale e nazionale. Devono altresì descrivere le misure che verranno poste in essere per disseminare i risultati del progetto di mobilità a livello di facoltà e di istituzione - ed anche oltre, </w:t>
      </w:r>
      <w:r w:rsidR="00A1479C">
        <w:rPr>
          <w:rFonts w:ascii="Times New Roman" w:hAnsi="Times New Roman" w:cs="Times New Roman"/>
        </w:rPr>
        <w:t>lad</w:t>
      </w:r>
      <w:r w:rsidRPr="00166040">
        <w:rPr>
          <w:rFonts w:ascii="Times New Roman" w:hAnsi="Times New Roman" w:cs="Times New Roman"/>
        </w:rPr>
        <w:t xml:space="preserve">dove applicabile - sia nei Paesi partecipanti al Programma che in quelli Partner. </w:t>
      </w:r>
    </w:p>
    <w:p w:rsidR="00F36585" w:rsidRDefault="00F36585" w:rsidP="00F36585">
      <w:pPr>
        <w:ind w:left="1080"/>
        <w:jc w:val="both"/>
        <w:rPr>
          <w:rFonts w:ascii="Times New Roman" w:hAnsi="Times New Roman" w:cs="Times New Roman"/>
        </w:rPr>
      </w:pPr>
    </w:p>
    <w:p w:rsidR="00F36585" w:rsidRPr="00C45FBA" w:rsidRDefault="00D02944" w:rsidP="00C45FBA">
      <w:pPr>
        <w:ind w:left="1080"/>
        <w:jc w:val="both"/>
        <w:rPr>
          <w:rFonts w:ascii="Times New Roman" w:hAnsi="Times New Roman" w:cs="Times New Roman"/>
          <w:b/>
          <w:i/>
          <w:smallCaps/>
        </w:rPr>
      </w:pPr>
      <w:r w:rsidRPr="00C45FBA">
        <w:rPr>
          <w:rFonts w:ascii="Times New Roman" w:hAnsi="Times New Roman" w:cs="Times New Roman"/>
          <w:i/>
          <w:sz w:val="18"/>
          <w:szCs w:val="18"/>
        </w:rPr>
        <w:t xml:space="preserve">Maggiori dettagli in merito ai criteri di valutazione sono disponibili </w:t>
      </w:r>
      <w:r w:rsidR="00C45FBA" w:rsidRPr="00C45FBA">
        <w:rPr>
          <w:rFonts w:ascii="Times New Roman" w:hAnsi="Times New Roman" w:cs="Times New Roman"/>
          <w:i/>
          <w:sz w:val="18"/>
          <w:szCs w:val="18"/>
        </w:rPr>
        <w:t>sul sito dell’</w:t>
      </w:r>
      <w:hyperlink r:id="rId21" w:history="1">
        <w:r w:rsidR="00C45FBA" w:rsidRPr="00C45FBA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Agenzia Nazionale</w:t>
        </w:r>
      </w:hyperlink>
      <w:r w:rsidR="00C45FBA" w:rsidRPr="00C45FBA">
        <w:rPr>
          <w:rFonts w:ascii="Times New Roman" w:hAnsi="Times New Roman" w:cs="Times New Roman"/>
          <w:i/>
          <w:sz w:val="18"/>
          <w:szCs w:val="18"/>
        </w:rPr>
        <w:t xml:space="preserve"> alla sezione</w:t>
      </w:r>
      <w:r w:rsidRPr="00C45FB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45FBA" w:rsidRPr="00C45FBA">
        <w:rPr>
          <w:rFonts w:ascii="Times New Roman" w:hAnsi="Times New Roman" w:cs="Times New Roman"/>
          <w:i/>
          <w:sz w:val="18"/>
          <w:szCs w:val="18"/>
        </w:rPr>
        <w:t>Documenti di supporto alla candidatura.</w:t>
      </w:r>
    </w:p>
    <w:p w:rsidR="00061DDA" w:rsidRPr="00C45FBA" w:rsidRDefault="00BD7F52" w:rsidP="00166040">
      <w:pPr>
        <w:spacing w:before="240"/>
        <w:jc w:val="both"/>
        <w:rPr>
          <w:rFonts w:ascii="Times New Roman" w:hAnsi="Times New Roman" w:cs="Times New Roman"/>
          <w:b/>
          <w:smallCaps/>
        </w:rPr>
      </w:pPr>
      <w:r w:rsidRPr="00C45FBA">
        <w:rPr>
          <w:rFonts w:ascii="Times New Roman" w:hAnsi="Times New Roman" w:cs="Times New Roman"/>
          <w:b/>
          <w:smallCaps/>
        </w:rPr>
        <w:t>Budget</w:t>
      </w:r>
      <w:r w:rsidR="00C45FBA" w:rsidRPr="00C45FBA">
        <w:rPr>
          <w:rFonts w:ascii="Times New Roman" w:hAnsi="Times New Roman" w:cs="Times New Roman"/>
          <w:b/>
          <w:smallCaps/>
        </w:rPr>
        <w:t xml:space="preserve"> Provvisorio </w:t>
      </w:r>
      <w:r w:rsidR="00544C71" w:rsidRPr="00C45FBA">
        <w:rPr>
          <w:rFonts w:ascii="Times New Roman" w:hAnsi="Times New Roman" w:cs="Times New Roman"/>
          <w:b/>
          <w:smallCaps/>
        </w:rPr>
        <w:t>(suscettibile di integrazione)</w:t>
      </w:r>
    </w:p>
    <w:p w:rsidR="00061DDA" w:rsidRPr="00C45FBA" w:rsidRDefault="00061DDA" w:rsidP="00166040">
      <w:pPr>
        <w:spacing w:before="240"/>
        <w:jc w:val="both"/>
        <w:rPr>
          <w:rFonts w:ascii="Times New Roman" w:hAnsi="Times New Roman" w:cs="Times New Roman"/>
        </w:rPr>
      </w:pPr>
      <w:r w:rsidRPr="00C45FBA">
        <w:rPr>
          <w:rFonts w:ascii="Times New Roman" w:hAnsi="Times New Roman" w:cs="Times New Roman"/>
        </w:rPr>
        <w:t xml:space="preserve">Si comunica qui di seguito il budget </w:t>
      </w:r>
      <w:r w:rsidR="00C45FBA" w:rsidRPr="00C45FBA">
        <w:rPr>
          <w:rFonts w:ascii="Times New Roman" w:hAnsi="Times New Roman" w:cs="Times New Roman"/>
        </w:rPr>
        <w:t xml:space="preserve">provvisorio </w:t>
      </w:r>
      <w:r w:rsidRPr="00C45FBA">
        <w:rPr>
          <w:rFonts w:ascii="Times New Roman" w:hAnsi="Times New Roman" w:cs="Times New Roman"/>
        </w:rPr>
        <w:t xml:space="preserve">disponibile per l’Italia, secondo i </w:t>
      </w:r>
      <w:r w:rsidR="003B29F3" w:rsidRPr="00C45FBA">
        <w:rPr>
          <w:rFonts w:ascii="Times New Roman" w:hAnsi="Times New Roman" w:cs="Times New Roman"/>
        </w:rPr>
        <w:t>5</w:t>
      </w:r>
      <w:r w:rsidRPr="00C45FBA">
        <w:rPr>
          <w:rFonts w:ascii="Times New Roman" w:hAnsi="Times New Roman" w:cs="Times New Roman"/>
        </w:rPr>
        <w:t xml:space="preserve"> strumenti finanziari e i relativi </w:t>
      </w:r>
      <w:r w:rsidR="00F36585" w:rsidRPr="00C45FBA">
        <w:rPr>
          <w:rFonts w:ascii="Times New Roman" w:hAnsi="Times New Roman" w:cs="Times New Roman"/>
        </w:rPr>
        <w:t xml:space="preserve">12 </w:t>
      </w:r>
      <w:r w:rsidRPr="00C45FBA">
        <w:rPr>
          <w:rFonts w:ascii="Times New Roman" w:hAnsi="Times New Roman" w:cs="Times New Roman"/>
        </w:rPr>
        <w:t>sotto</w:t>
      </w:r>
      <w:r w:rsidR="00C45FBA">
        <w:rPr>
          <w:rFonts w:ascii="Times New Roman" w:hAnsi="Times New Roman" w:cs="Times New Roman"/>
        </w:rPr>
        <w:t xml:space="preserve"> </w:t>
      </w:r>
      <w:r w:rsidRPr="00C45FBA">
        <w:rPr>
          <w:rFonts w:ascii="Times New Roman" w:hAnsi="Times New Roman" w:cs="Times New Roman"/>
        </w:rPr>
        <w:t xml:space="preserve">capitoli, per </w:t>
      </w:r>
      <w:r w:rsidR="00A1479C" w:rsidRPr="00C45FBA">
        <w:rPr>
          <w:rFonts w:ascii="Times New Roman" w:hAnsi="Times New Roman" w:cs="Times New Roman"/>
        </w:rPr>
        <w:t>la call 201</w:t>
      </w:r>
      <w:r w:rsidR="00C45FBA" w:rsidRPr="00C45FBA">
        <w:rPr>
          <w:rFonts w:ascii="Times New Roman" w:hAnsi="Times New Roman" w:cs="Times New Roman"/>
        </w:rPr>
        <w:t>8</w:t>
      </w:r>
      <w:r w:rsidR="008271B2" w:rsidRPr="00C45FBA">
        <w:rPr>
          <w:rFonts w:ascii="Times New Roman" w:hAnsi="Times New Roman" w:cs="Times New Roman"/>
        </w:rPr>
        <w:t>;</w:t>
      </w:r>
    </w:p>
    <w:p w:rsidR="008271B2" w:rsidRDefault="00C45FBA" w:rsidP="00166040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importi</w:t>
      </w:r>
      <w:r w:rsidR="008271B2" w:rsidRPr="00C45FBA">
        <w:rPr>
          <w:rFonts w:ascii="Times New Roman" w:hAnsi="Times New Roman" w:cs="Times New Roman"/>
        </w:rPr>
        <w:t xml:space="preserve"> sono suscettibili </w:t>
      </w:r>
      <w:r>
        <w:rPr>
          <w:rFonts w:ascii="Times New Roman" w:hAnsi="Times New Roman" w:cs="Times New Roman"/>
        </w:rPr>
        <w:t>di variazione sulla ba</w:t>
      </w:r>
      <w:r w:rsidR="00154284">
        <w:rPr>
          <w:rFonts w:ascii="Times New Roman" w:hAnsi="Times New Roman" w:cs="Times New Roman"/>
        </w:rPr>
        <w:t>se dell’approvazione formale (Multi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="00154284">
        <w:rPr>
          <w:rFonts w:ascii="Times New Roman" w:hAnsi="Times New Roman" w:cs="Times New Roman"/>
        </w:rPr>
        <w:t>nnual</w:t>
      </w:r>
      <w:proofErr w:type="spellEnd"/>
      <w:r>
        <w:rPr>
          <w:rFonts w:ascii="Times New Roman" w:hAnsi="Times New Roman" w:cs="Times New Roman"/>
        </w:rPr>
        <w:t xml:space="preserve"> I</w:t>
      </w:r>
      <w:r w:rsidR="00154284">
        <w:rPr>
          <w:rFonts w:ascii="Times New Roman" w:hAnsi="Times New Roman" w:cs="Times New Roman"/>
        </w:rPr>
        <w:t>ndicative</w:t>
      </w:r>
      <w:r>
        <w:rPr>
          <w:rFonts w:ascii="Times New Roman" w:hAnsi="Times New Roman" w:cs="Times New Roman"/>
        </w:rPr>
        <w:t xml:space="preserve"> P</w:t>
      </w:r>
      <w:r w:rsidR="00154284">
        <w:rPr>
          <w:rFonts w:ascii="Times New Roman" w:hAnsi="Times New Roman" w:cs="Times New Roman"/>
        </w:rPr>
        <w:t xml:space="preserve">rogramming </w:t>
      </w:r>
      <w:proofErr w:type="spellStart"/>
      <w:r>
        <w:rPr>
          <w:rFonts w:ascii="Times New Roman" w:hAnsi="Times New Roman" w:cs="Times New Roman"/>
        </w:rPr>
        <w:t>P</w:t>
      </w:r>
      <w:r w:rsidR="00154284">
        <w:rPr>
          <w:rFonts w:ascii="Times New Roman" w:hAnsi="Times New Roman" w:cs="Times New Roman"/>
        </w:rPr>
        <w:t>eriods</w:t>
      </w:r>
      <w:proofErr w:type="spellEnd"/>
      <w:r>
        <w:rPr>
          <w:rFonts w:ascii="Times New Roman" w:hAnsi="Times New Roman" w:cs="Times New Roman"/>
        </w:rPr>
        <w:t xml:space="preserve"> 2018-2020) prevista per il mese di maggio 2018.</w:t>
      </w:r>
    </w:p>
    <w:p w:rsidR="00A1479C" w:rsidRDefault="00A1479C" w:rsidP="00166040">
      <w:pPr>
        <w:spacing w:before="24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2496"/>
      </w:tblGrid>
      <w:tr w:rsidR="00A1479C" w:rsidTr="009B113D">
        <w:trPr>
          <w:trHeight w:val="708"/>
          <w:jc w:val="center"/>
        </w:trPr>
        <w:tc>
          <w:tcPr>
            <w:tcW w:w="4677" w:type="dxa"/>
            <w:shd w:val="clear" w:color="auto" w:fill="0D0D0D" w:themeFill="text1" w:themeFillTint="F2"/>
          </w:tcPr>
          <w:p w:rsidR="00A1479C" w:rsidRDefault="00A1479C" w:rsidP="0016604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Envelope</w:t>
            </w:r>
            <w:proofErr w:type="spellEnd"/>
          </w:p>
        </w:tc>
        <w:tc>
          <w:tcPr>
            <w:tcW w:w="2496" w:type="dxa"/>
            <w:shd w:val="clear" w:color="auto" w:fill="0D0D0D" w:themeFill="text1" w:themeFillTint="F2"/>
          </w:tcPr>
          <w:p w:rsidR="00A1479C" w:rsidRDefault="00A1479C" w:rsidP="00A1479C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Provvisorio</w:t>
            </w:r>
          </w:p>
        </w:tc>
      </w:tr>
      <w:tr w:rsidR="00A1479C" w:rsidTr="000D0208">
        <w:trPr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A1479C" w:rsidRPr="00B449D3" w:rsidRDefault="009B113D" w:rsidP="000D0208">
            <w:pPr>
              <w:pStyle w:val="Corpodeltesto2"/>
              <w:widowControl w:val="0"/>
              <w:snapToGrid w:val="0"/>
              <w:spacing w:after="0" w:line="240" w:lineRule="auto"/>
              <w:rPr>
                <w:szCs w:val="24"/>
                <w:lang w:val="it-IT"/>
              </w:rPr>
            </w:pPr>
            <w:r w:rsidRPr="009B113D">
              <w:rPr>
                <w:b/>
                <w:szCs w:val="24"/>
                <w:lang w:val="it-IT"/>
              </w:rPr>
              <w:t xml:space="preserve">IPA </w:t>
            </w:r>
            <w:r w:rsidRPr="009B113D">
              <w:rPr>
                <w:szCs w:val="24"/>
                <w:lang w:val="it-IT"/>
              </w:rPr>
              <w:t>Balcani Occidentali</w:t>
            </w:r>
          </w:p>
        </w:tc>
        <w:tc>
          <w:tcPr>
            <w:tcW w:w="2496" w:type="dxa"/>
          </w:tcPr>
          <w:p w:rsidR="00A1479C" w:rsidRDefault="008762D8" w:rsidP="00B449D3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 w:rsidRPr="008762D8">
              <w:rPr>
                <w:rFonts w:ascii="Times New Roman" w:hAnsi="Times New Roman" w:cs="Times New Roman"/>
              </w:rPr>
              <w:t>2.933.439</w:t>
            </w:r>
          </w:p>
        </w:tc>
      </w:tr>
      <w:tr w:rsidR="009B113D" w:rsidTr="000F5F99">
        <w:trPr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9B113D" w:rsidRPr="00B449D3" w:rsidRDefault="009B113D" w:rsidP="000F5F99">
            <w:pPr>
              <w:pStyle w:val="Corpodeltesto2"/>
              <w:widowControl w:val="0"/>
              <w:snapToGrid w:val="0"/>
              <w:spacing w:after="0" w:line="240" w:lineRule="auto"/>
              <w:rPr>
                <w:szCs w:val="24"/>
                <w:lang w:val="it-IT"/>
              </w:rPr>
            </w:pPr>
            <w:r w:rsidRPr="00B449D3">
              <w:rPr>
                <w:b/>
                <w:szCs w:val="24"/>
                <w:lang w:val="it-IT"/>
              </w:rPr>
              <w:t>ENI</w:t>
            </w:r>
            <w:r w:rsidRPr="00B449D3">
              <w:rPr>
                <w:szCs w:val="24"/>
                <w:lang w:val="it-IT"/>
              </w:rPr>
              <w:t xml:space="preserve"> Partenariato Orientale</w:t>
            </w:r>
          </w:p>
        </w:tc>
        <w:tc>
          <w:tcPr>
            <w:tcW w:w="2496" w:type="dxa"/>
          </w:tcPr>
          <w:p w:rsidR="009B113D" w:rsidRDefault="008762D8" w:rsidP="000F5F99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 w:rsidRPr="008762D8">
              <w:rPr>
                <w:rFonts w:ascii="Times New Roman" w:hAnsi="Times New Roman" w:cs="Times New Roman"/>
              </w:rPr>
              <w:t>2.490.181</w:t>
            </w:r>
          </w:p>
        </w:tc>
      </w:tr>
      <w:tr w:rsidR="00A1479C" w:rsidTr="006A63DC">
        <w:trPr>
          <w:trHeight w:val="532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A1479C" w:rsidRPr="00A167E5" w:rsidRDefault="00A1479C" w:rsidP="00280EF2">
            <w:pPr>
              <w:pStyle w:val="Corpodeltesto2"/>
              <w:widowControl w:val="0"/>
              <w:snapToGrid w:val="0"/>
              <w:spacing w:after="0" w:line="240" w:lineRule="auto"/>
              <w:rPr>
                <w:szCs w:val="24"/>
                <w:lang w:val="it-IT"/>
              </w:rPr>
            </w:pPr>
            <w:r w:rsidRPr="00A167E5">
              <w:rPr>
                <w:b/>
                <w:szCs w:val="24"/>
                <w:lang w:val="it-IT"/>
              </w:rPr>
              <w:t xml:space="preserve">ENI </w:t>
            </w:r>
            <w:r w:rsidRPr="00A167E5">
              <w:rPr>
                <w:szCs w:val="24"/>
                <w:lang w:val="it-IT"/>
              </w:rPr>
              <w:t xml:space="preserve">Mediterraneo meridionale </w:t>
            </w:r>
          </w:p>
        </w:tc>
        <w:tc>
          <w:tcPr>
            <w:tcW w:w="2496" w:type="dxa"/>
          </w:tcPr>
          <w:p w:rsidR="00A1479C" w:rsidRDefault="008762D8" w:rsidP="006A63DC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 w:rsidRPr="008762D8">
              <w:rPr>
                <w:rFonts w:ascii="Times New Roman" w:hAnsi="Times New Roman" w:cs="Times New Roman"/>
              </w:rPr>
              <w:t>3.304.315</w:t>
            </w:r>
          </w:p>
        </w:tc>
      </w:tr>
      <w:tr w:rsidR="006A63DC" w:rsidTr="006A63DC">
        <w:trPr>
          <w:trHeight w:val="532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6A63DC" w:rsidRPr="00A167E5" w:rsidRDefault="006A63DC" w:rsidP="00DE5E9A">
            <w:pPr>
              <w:pStyle w:val="Corpodeltesto2"/>
              <w:widowControl w:val="0"/>
              <w:snapToGrid w:val="0"/>
              <w:spacing w:after="0" w:line="240" w:lineRule="auto"/>
              <w:ind w:left="708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 xml:space="preserve">+ Tunisia </w:t>
            </w:r>
            <w:proofErr w:type="spellStart"/>
            <w:r w:rsidRPr="009B113D">
              <w:rPr>
                <w:szCs w:val="24"/>
                <w:lang w:val="it-IT"/>
              </w:rPr>
              <w:t>Window</w:t>
            </w:r>
            <w:proofErr w:type="spellEnd"/>
          </w:p>
        </w:tc>
        <w:tc>
          <w:tcPr>
            <w:tcW w:w="2496" w:type="dxa"/>
          </w:tcPr>
          <w:p w:rsidR="006A63DC" w:rsidRDefault="008762D8" w:rsidP="006A63DC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 w:rsidRPr="00DE5E9A">
              <w:rPr>
                <w:rFonts w:ascii="Times New Roman" w:hAnsi="Times New Roman" w:cs="Times New Roman"/>
                <w:color w:val="FF0000"/>
              </w:rPr>
              <w:t>320.000</w:t>
            </w:r>
          </w:p>
        </w:tc>
      </w:tr>
      <w:tr w:rsidR="00A1479C" w:rsidTr="000D0208">
        <w:trPr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A1479C" w:rsidRPr="00B449D3" w:rsidRDefault="00A1479C" w:rsidP="000D0208">
            <w:pPr>
              <w:pStyle w:val="Corpodeltesto2"/>
              <w:widowControl w:val="0"/>
              <w:snapToGrid w:val="0"/>
              <w:spacing w:after="0" w:line="240" w:lineRule="auto"/>
              <w:rPr>
                <w:szCs w:val="24"/>
                <w:lang w:val="it-IT"/>
              </w:rPr>
            </w:pPr>
            <w:r w:rsidRPr="00B449D3">
              <w:rPr>
                <w:b/>
                <w:szCs w:val="24"/>
                <w:lang w:val="it-IT"/>
              </w:rPr>
              <w:t>ENI</w:t>
            </w:r>
            <w:r w:rsidRPr="00B449D3">
              <w:rPr>
                <w:szCs w:val="24"/>
                <w:lang w:val="it-IT"/>
              </w:rPr>
              <w:t xml:space="preserve"> Federazione russa</w:t>
            </w:r>
            <w:r w:rsidRPr="00166040">
              <w:rPr>
                <w:rStyle w:val="Rimandonotaapidipagina"/>
                <w:szCs w:val="24"/>
              </w:rPr>
              <w:footnoteReference w:id="2"/>
            </w:r>
          </w:p>
        </w:tc>
        <w:tc>
          <w:tcPr>
            <w:tcW w:w="2496" w:type="dxa"/>
          </w:tcPr>
          <w:p w:rsidR="00A1479C" w:rsidRDefault="008762D8" w:rsidP="000D0208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 w:rsidRPr="008762D8">
              <w:rPr>
                <w:rFonts w:ascii="Times New Roman" w:hAnsi="Times New Roman" w:cs="Times New Roman"/>
              </w:rPr>
              <w:t>1.445.150</w:t>
            </w:r>
          </w:p>
        </w:tc>
      </w:tr>
      <w:tr w:rsidR="00A1479C" w:rsidTr="000D0208">
        <w:trPr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A1479C" w:rsidRPr="00166040" w:rsidRDefault="00A1479C" w:rsidP="000D0208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167E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DCI </w:t>
            </w:r>
            <w:r w:rsidRPr="00166040">
              <w:rPr>
                <w:rFonts w:ascii="Times New Roman" w:hAnsi="Times New Roman" w:cs="Times New Roman"/>
                <w:shd w:val="clear" w:color="auto" w:fill="FFFFFF"/>
              </w:rPr>
              <w:t>Asia</w:t>
            </w:r>
          </w:p>
        </w:tc>
        <w:tc>
          <w:tcPr>
            <w:tcW w:w="2496" w:type="dxa"/>
          </w:tcPr>
          <w:p w:rsidR="00A1479C" w:rsidRDefault="008762D8" w:rsidP="00B449D3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 w:rsidRPr="008762D8">
              <w:rPr>
                <w:rFonts w:ascii="Times New Roman" w:hAnsi="Times New Roman" w:cs="Times New Roman"/>
              </w:rPr>
              <w:t>1.770.314</w:t>
            </w:r>
          </w:p>
        </w:tc>
      </w:tr>
      <w:tr w:rsidR="00A1479C" w:rsidTr="000D0208">
        <w:trPr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A1479C" w:rsidRPr="00166040" w:rsidRDefault="00A1479C" w:rsidP="000D0208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167E5">
              <w:rPr>
                <w:rFonts w:ascii="Times New Roman" w:hAnsi="Times New Roman" w:cs="Times New Roman"/>
                <w:b/>
                <w:shd w:val="clear" w:color="auto" w:fill="FFFFFF"/>
              </w:rPr>
              <w:t>DCI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66040">
              <w:rPr>
                <w:rFonts w:ascii="Times New Roman" w:hAnsi="Times New Roman" w:cs="Times New Roman"/>
                <w:shd w:val="clear" w:color="auto" w:fill="FFFFFF"/>
              </w:rPr>
              <w:t>Asia Centrale</w:t>
            </w:r>
          </w:p>
        </w:tc>
        <w:tc>
          <w:tcPr>
            <w:tcW w:w="2496" w:type="dxa"/>
          </w:tcPr>
          <w:p w:rsidR="00A1479C" w:rsidRDefault="008762D8" w:rsidP="00B449D3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 w:rsidRPr="008762D8">
              <w:rPr>
                <w:rFonts w:ascii="Times New Roman" w:hAnsi="Times New Roman" w:cs="Times New Roman"/>
              </w:rPr>
              <w:t>566.011</w:t>
            </w:r>
          </w:p>
        </w:tc>
      </w:tr>
      <w:tr w:rsidR="00A1479C" w:rsidTr="000D0208">
        <w:trPr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A1479C" w:rsidRPr="00166040" w:rsidRDefault="00A1479C" w:rsidP="000D0208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167E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DCI </w:t>
            </w:r>
            <w:r w:rsidRPr="00166040">
              <w:rPr>
                <w:rFonts w:ascii="Times New Roman" w:hAnsi="Times New Roman" w:cs="Times New Roman"/>
                <w:shd w:val="clear" w:color="auto" w:fill="FFFFFF"/>
              </w:rPr>
              <w:t>America Latina</w:t>
            </w:r>
          </w:p>
        </w:tc>
        <w:tc>
          <w:tcPr>
            <w:tcW w:w="2496" w:type="dxa"/>
          </w:tcPr>
          <w:p w:rsidR="00A1479C" w:rsidRDefault="008762D8" w:rsidP="00B449D3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 w:rsidRPr="008762D8">
              <w:rPr>
                <w:rFonts w:ascii="Times New Roman" w:hAnsi="Times New Roman" w:cs="Times New Roman"/>
              </w:rPr>
              <w:t>574.082</w:t>
            </w:r>
          </w:p>
        </w:tc>
      </w:tr>
      <w:tr w:rsidR="00A1479C" w:rsidTr="00280EF2">
        <w:trPr>
          <w:trHeight w:val="563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A1479C" w:rsidRPr="00280EF2" w:rsidRDefault="00A1479C" w:rsidP="000D0208">
            <w:pPr>
              <w:snapToGrid w:val="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80EF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DCI </w:t>
            </w:r>
            <w:r w:rsidRPr="008762D8">
              <w:rPr>
                <w:rFonts w:ascii="Times New Roman" w:hAnsi="Times New Roman" w:cs="Times New Roman"/>
                <w:shd w:val="clear" w:color="auto" w:fill="FFFFFF"/>
              </w:rPr>
              <w:t>Medio Oriente</w:t>
            </w:r>
          </w:p>
        </w:tc>
        <w:tc>
          <w:tcPr>
            <w:tcW w:w="2496" w:type="dxa"/>
          </w:tcPr>
          <w:p w:rsidR="00A1479C" w:rsidRDefault="008762D8" w:rsidP="00B449D3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 w:rsidRPr="008762D8">
              <w:rPr>
                <w:rFonts w:ascii="Times New Roman" w:hAnsi="Times New Roman" w:cs="Times New Roman"/>
              </w:rPr>
              <w:t>265.773</w:t>
            </w:r>
          </w:p>
        </w:tc>
      </w:tr>
      <w:tr w:rsidR="00A1479C" w:rsidTr="000D0208">
        <w:trPr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A1479C" w:rsidRPr="00166040" w:rsidRDefault="00A1479C" w:rsidP="000D0208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167E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DCI </w:t>
            </w:r>
            <w:r w:rsidRPr="00166040">
              <w:rPr>
                <w:rFonts w:ascii="Times New Roman" w:hAnsi="Times New Roman" w:cs="Times New Roman"/>
                <w:shd w:val="clear" w:color="auto" w:fill="FFFFFF"/>
              </w:rPr>
              <w:t>Sud-Africa</w:t>
            </w:r>
          </w:p>
        </w:tc>
        <w:tc>
          <w:tcPr>
            <w:tcW w:w="2496" w:type="dxa"/>
          </w:tcPr>
          <w:p w:rsidR="00A1479C" w:rsidRDefault="008762D8" w:rsidP="00B449D3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 w:rsidRPr="008762D8">
              <w:rPr>
                <w:rFonts w:ascii="Times New Roman" w:hAnsi="Times New Roman" w:cs="Times New Roman"/>
              </w:rPr>
              <w:t>165.770</w:t>
            </w:r>
          </w:p>
        </w:tc>
      </w:tr>
      <w:tr w:rsidR="00A1479C" w:rsidTr="000D0208">
        <w:trPr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A1479C" w:rsidRPr="00B449D3" w:rsidRDefault="00A1479C" w:rsidP="000D0208">
            <w:pPr>
              <w:pStyle w:val="Corpodeltesto2"/>
              <w:widowControl w:val="0"/>
              <w:snapToGrid w:val="0"/>
              <w:spacing w:after="0" w:line="240" w:lineRule="auto"/>
              <w:rPr>
                <w:szCs w:val="24"/>
                <w:lang w:val="it-IT"/>
              </w:rPr>
            </w:pPr>
            <w:r w:rsidRPr="00B449D3">
              <w:rPr>
                <w:b/>
                <w:shd w:val="clear" w:color="auto" w:fill="FFFFFF"/>
                <w:lang w:val="it-IT"/>
              </w:rPr>
              <w:t xml:space="preserve">PI </w:t>
            </w:r>
            <w:r w:rsidRPr="00B449D3">
              <w:rPr>
                <w:shd w:val="clear" w:color="auto" w:fill="FFFFFF"/>
                <w:lang w:val="it-IT"/>
              </w:rPr>
              <w:t>Paesi industrializzati dell’America</w:t>
            </w:r>
          </w:p>
        </w:tc>
        <w:tc>
          <w:tcPr>
            <w:tcW w:w="2496" w:type="dxa"/>
          </w:tcPr>
          <w:p w:rsidR="00A1479C" w:rsidRDefault="008762D8" w:rsidP="00B449D3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 w:rsidRPr="008762D8">
              <w:rPr>
                <w:rFonts w:ascii="Times New Roman" w:hAnsi="Times New Roman" w:cs="Times New Roman"/>
              </w:rPr>
              <w:t>624.380</w:t>
            </w:r>
          </w:p>
        </w:tc>
      </w:tr>
      <w:tr w:rsidR="00A1479C" w:rsidTr="000D0208">
        <w:trPr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A1479C" w:rsidRPr="00B449D3" w:rsidRDefault="00A1479C" w:rsidP="000D0208">
            <w:pPr>
              <w:pStyle w:val="Corpodeltesto2"/>
              <w:widowControl w:val="0"/>
              <w:snapToGrid w:val="0"/>
              <w:spacing w:after="0" w:line="240" w:lineRule="auto"/>
              <w:rPr>
                <w:szCs w:val="24"/>
                <w:lang w:val="it-IT"/>
              </w:rPr>
            </w:pPr>
            <w:r w:rsidRPr="00B449D3">
              <w:rPr>
                <w:b/>
                <w:shd w:val="clear" w:color="auto" w:fill="FFFFFF"/>
                <w:lang w:val="it-IT"/>
              </w:rPr>
              <w:t>PI</w:t>
            </w:r>
            <w:r w:rsidRPr="00B449D3">
              <w:rPr>
                <w:shd w:val="clear" w:color="auto" w:fill="FFFFFF"/>
                <w:lang w:val="it-IT"/>
              </w:rPr>
              <w:t xml:space="preserve"> Paesi industrializzati dell’Asia</w:t>
            </w:r>
          </w:p>
        </w:tc>
        <w:tc>
          <w:tcPr>
            <w:tcW w:w="2496" w:type="dxa"/>
          </w:tcPr>
          <w:p w:rsidR="00A1479C" w:rsidRDefault="008762D8" w:rsidP="000D0208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 w:rsidRPr="008762D8">
              <w:rPr>
                <w:rFonts w:ascii="Times New Roman" w:hAnsi="Times New Roman" w:cs="Times New Roman"/>
              </w:rPr>
              <w:t>660.900</w:t>
            </w:r>
          </w:p>
        </w:tc>
      </w:tr>
      <w:tr w:rsidR="00A1479C" w:rsidTr="000D0208">
        <w:trPr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A1479C" w:rsidRPr="00A167E5" w:rsidRDefault="00A1479C" w:rsidP="000D0208">
            <w:pPr>
              <w:pStyle w:val="Corpodeltesto2"/>
              <w:widowControl w:val="0"/>
              <w:snapToGrid w:val="0"/>
              <w:spacing w:after="0" w:line="240" w:lineRule="auto"/>
              <w:rPr>
                <w:szCs w:val="24"/>
                <w:lang w:val="it-IT"/>
              </w:rPr>
            </w:pPr>
            <w:r w:rsidRPr="00A167E5">
              <w:rPr>
                <w:b/>
                <w:szCs w:val="24"/>
                <w:lang w:val="it-IT"/>
              </w:rPr>
              <w:t>EDF</w:t>
            </w:r>
            <w:r w:rsidRPr="00A167E5">
              <w:rPr>
                <w:szCs w:val="24"/>
                <w:lang w:val="it-IT"/>
              </w:rPr>
              <w:t xml:space="preserve"> Africa, Caraibi e Pacifico</w:t>
            </w:r>
          </w:p>
        </w:tc>
        <w:tc>
          <w:tcPr>
            <w:tcW w:w="2496" w:type="dxa"/>
          </w:tcPr>
          <w:p w:rsidR="00A1479C" w:rsidRDefault="008762D8" w:rsidP="000D0208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 w:rsidRPr="008762D8">
              <w:rPr>
                <w:rFonts w:ascii="Times New Roman" w:hAnsi="Times New Roman" w:cs="Times New Roman"/>
              </w:rPr>
              <w:t>580.502</w:t>
            </w:r>
          </w:p>
        </w:tc>
      </w:tr>
      <w:tr w:rsidR="00280EF2" w:rsidTr="000D0208">
        <w:trPr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280EF2" w:rsidRDefault="00280EF2" w:rsidP="00DE5E9A">
            <w:pPr>
              <w:pStyle w:val="Corpodeltesto2"/>
              <w:widowControl w:val="0"/>
              <w:snapToGrid w:val="0"/>
              <w:spacing w:line="240" w:lineRule="auto"/>
              <w:ind w:left="708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+</w:t>
            </w:r>
            <w:r w:rsidR="006A63DC">
              <w:rPr>
                <w:b/>
                <w:szCs w:val="24"/>
                <w:lang w:val="it-IT"/>
              </w:rPr>
              <w:t xml:space="preserve"> </w:t>
            </w:r>
            <w:r>
              <w:rPr>
                <w:b/>
                <w:szCs w:val="24"/>
                <w:lang w:val="it-IT"/>
              </w:rPr>
              <w:t xml:space="preserve">West Africa </w:t>
            </w:r>
            <w:r w:rsidRPr="009B113D">
              <w:rPr>
                <w:szCs w:val="24"/>
                <w:lang w:val="it-IT"/>
              </w:rPr>
              <w:t>Windows</w:t>
            </w:r>
          </w:p>
          <w:p w:rsidR="006A63DC" w:rsidRPr="006A63DC" w:rsidRDefault="006A63DC" w:rsidP="009B113D">
            <w:pPr>
              <w:pStyle w:val="Corpodeltesto2"/>
              <w:widowControl w:val="0"/>
              <w:snapToGrid w:val="0"/>
              <w:spacing w:line="240" w:lineRule="auto"/>
              <w:rPr>
                <w:i/>
                <w:sz w:val="16"/>
                <w:szCs w:val="16"/>
                <w:lang w:val="it-IT"/>
              </w:rPr>
            </w:pPr>
            <w:r w:rsidRPr="006A63DC">
              <w:rPr>
                <w:i/>
                <w:sz w:val="16"/>
                <w:szCs w:val="16"/>
                <w:lang w:val="it-IT"/>
              </w:rPr>
              <w:t>Burkina Faso, Cam</w:t>
            </w:r>
            <w:r>
              <w:rPr>
                <w:i/>
                <w:sz w:val="16"/>
                <w:szCs w:val="16"/>
                <w:lang w:val="it-IT"/>
              </w:rPr>
              <w:t>eroon, Chad, Cote d'</w:t>
            </w:r>
            <w:proofErr w:type="spellStart"/>
            <w:r>
              <w:rPr>
                <w:i/>
                <w:sz w:val="16"/>
                <w:szCs w:val="16"/>
                <w:lang w:val="it-IT"/>
              </w:rPr>
              <w:t>Ivoire</w:t>
            </w:r>
            <w:proofErr w:type="spellEnd"/>
            <w:r>
              <w:rPr>
                <w:i/>
                <w:sz w:val="16"/>
                <w:szCs w:val="16"/>
                <w:lang w:val="it-IT"/>
              </w:rPr>
              <w:t xml:space="preserve">, </w:t>
            </w:r>
            <w:r w:rsidRPr="006A63DC">
              <w:rPr>
                <w:i/>
                <w:sz w:val="16"/>
                <w:szCs w:val="16"/>
                <w:lang w:val="it-IT"/>
              </w:rPr>
              <w:t>Gambia, Ghana, Guinea, Mali, Mauritania, Niger, Nigeria, Senegal.</w:t>
            </w:r>
          </w:p>
        </w:tc>
        <w:tc>
          <w:tcPr>
            <w:tcW w:w="2496" w:type="dxa"/>
          </w:tcPr>
          <w:p w:rsidR="00280EF2" w:rsidRDefault="008762D8" w:rsidP="009B113D">
            <w:pPr>
              <w:spacing w:before="240" w:after="120"/>
              <w:jc w:val="right"/>
              <w:rPr>
                <w:rFonts w:ascii="Times New Roman" w:hAnsi="Times New Roman" w:cs="Times New Roman"/>
              </w:rPr>
            </w:pPr>
            <w:r w:rsidRPr="00DE5E9A">
              <w:rPr>
                <w:rFonts w:ascii="Times New Roman" w:hAnsi="Times New Roman" w:cs="Times New Roman"/>
                <w:color w:val="FF0000"/>
              </w:rPr>
              <w:t>150.000</w:t>
            </w:r>
          </w:p>
        </w:tc>
      </w:tr>
      <w:tr w:rsidR="008762D8" w:rsidTr="000D0208">
        <w:trPr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8762D8" w:rsidRDefault="008762D8" w:rsidP="009B113D">
            <w:pPr>
              <w:pStyle w:val="Corpodeltesto2"/>
              <w:widowControl w:val="0"/>
              <w:snapToGrid w:val="0"/>
              <w:spacing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Budget Totale Provvisorio</w:t>
            </w:r>
          </w:p>
        </w:tc>
        <w:tc>
          <w:tcPr>
            <w:tcW w:w="2496" w:type="dxa"/>
          </w:tcPr>
          <w:p w:rsidR="008762D8" w:rsidRPr="008762D8" w:rsidRDefault="008762D8" w:rsidP="00C45FBA">
            <w:pPr>
              <w:spacing w:before="240" w:after="120"/>
              <w:jc w:val="right"/>
              <w:rPr>
                <w:rFonts w:ascii="Times New Roman" w:hAnsi="Times New Roman" w:cs="Times New Roman"/>
              </w:rPr>
            </w:pPr>
            <w:r w:rsidRPr="008762D8">
              <w:rPr>
                <w:rFonts w:ascii="Times New Roman" w:hAnsi="Times New Roman" w:cs="Times New Roman"/>
              </w:rPr>
              <w:t>15.850.81</w:t>
            </w:r>
            <w:r w:rsidR="00C45FBA">
              <w:rPr>
                <w:rFonts w:ascii="Times New Roman" w:hAnsi="Times New Roman" w:cs="Times New Roman"/>
              </w:rPr>
              <w:t>6</w:t>
            </w:r>
          </w:p>
        </w:tc>
      </w:tr>
    </w:tbl>
    <w:p w:rsidR="00A167E5" w:rsidRPr="00166040" w:rsidRDefault="00A167E5" w:rsidP="00166040">
      <w:pPr>
        <w:spacing w:before="240"/>
        <w:jc w:val="both"/>
        <w:rPr>
          <w:rFonts w:ascii="Times New Roman" w:hAnsi="Times New Roman" w:cs="Times New Roman"/>
        </w:rPr>
      </w:pPr>
    </w:p>
    <w:p w:rsidR="00F36585" w:rsidRPr="00F36585" w:rsidRDefault="00124842" w:rsidP="00F36585">
      <w:pPr>
        <w:spacing w:before="240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  <w:r w:rsidRPr="00593814">
        <w:rPr>
          <w:rFonts w:ascii="Times New Roman" w:hAnsi="Times New Roman" w:cs="Times New Roman"/>
          <w:b/>
          <w:smallCaps/>
          <w:sz w:val="20"/>
          <w:szCs w:val="20"/>
        </w:rPr>
        <w:t>BILANCIAMENTO GEOGRAFICO</w:t>
      </w:r>
    </w:p>
    <w:p w:rsidR="00802DF9" w:rsidRDefault="00802DF9" w:rsidP="00802DF9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generale, </w:t>
      </w:r>
      <w:r w:rsidR="00E416AB">
        <w:rPr>
          <w:rFonts w:ascii="Times New Roman" w:hAnsi="Times New Roman" w:cs="Times New Roman"/>
        </w:rPr>
        <w:t>l’attribuzione de</w:t>
      </w:r>
      <w:r>
        <w:rPr>
          <w:rFonts w:ascii="Times New Roman" w:hAnsi="Times New Roman" w:cs="Times New Roman"/>
        </w:rPr>
        <w:t xml:space="preserve">i </w:t>
      </w:r>
      <w:r w:rsidRPr="000D0208">
        <w:rPr>
          <w:rFonts w:ascii="Times New Roman" w:hAnsi="Times New Roman" w:cs="Times New Roman"/>
        </w:rPr>
        <w:t xml:space="preserve">fondi </w:t>
      </w:r>
      <w:r>
        <w:rPr>
          <w:rFonts w:ascii="Times New Roman" w:hAnsi="Times New Roman" w:cs="Times New Roman"/>
        </w:rPr>
        <w:t>provenienti dai</w:t>
      </w:r>
      <w:r w:rsidRPr="000D0208">
        <w:rPr>
          <w:rFonts w:ascii="Times New Roman" w:hAnsi="Times New Roman" w:cs="Times New Roman"/>
        </w:rPr>
        <w:t xml:space="preserve"> vari strumenti finanziari </w:t>
      </w:r>
      <w:r>
        <w:rPr>
          <w:rFonts w:ascii="Times New Roman" w:hAnsi="Times New Roman" w:cs="Times New Roman"/>
        </w:rPr>
        <w:t xml:space="preserve">(IPA, ENI, DCI, PI, EDF) deve avvenire in modo da garantire il </w:t>
      </w:r>
      <w:r w:rsidRPr="000D0208">
        <w:rPr>
          <w:rFonts w:ascii="Times New Roman" w:hAnsi="Times New Roman" w:cs="Times New Roman"/>
          <w:b/>
        </w:rPr>
        <w:t>bilanciamento geografico</w:t>
      </w:r>
      <w:r>
        <w:rPr>
          <w:rFonts w:ascii="Times New Roman" w:hAnsi="Times New Roman" w:cs="Times New Roman"/>
        </w:rPr>
        <w:t xml:space="preserve">, secondo determinati target fissati dall’Unione </w:t>
      </w:r>
      <w:r w:rsidRPr="00B84522">
        <w:rPr>
          <w:rFonts w:ascii="Times New Roman" w:hAnsi="Times New Roman" w:cs="Times New Roman"/>
        </w:rPr>
        <w:t xml:space="preserve">Europea (cfr. Guida al Programma 2018 </w:t>
      </w:r>
      <w:proofErr w:type="spellStart"/>
      <w:r w:rsidRPr="00B84522">
        <w:rPr>
          <w:rFonts w:ascii="Times New Roman" w:hAnsi="Times New Roman" w:cs="Times New Roman"/>
        </w:rPr>
        <w:t>pg</w:t>
      </w:r>
      <w:proofErr w:type="spellEnd"/>
      <w:r w:rsidRPr="00B84522">
        <w:rPr>
          <w:rFonts w:ascii="Times New Roman" w:hAnsi="Times New Roman" w:cs="Times New Roman"/>
        </w:rPr>
        <w:t>. 37 EN ver.)</w:t>
      </w:r>
      <w:r w:rsidRPr="000D0208">
        <w:rPr>
          <w:rFonts w:ascii="Times New Roman" w:hAnsi="Times New Roman" w:cs="Times New Roman"/>
        </w:rPr>
        <w:t xml:space="preserve">  </w:t>
      </w:r>
    </w:p>
    <w:p w:rsidR="00802DF9" w:rsidRPr="00802DF9" w:rsidRDefault="00802DF9" w:rsidP="00802DF9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bilanciamento geografico dovrà essere raggiunto a livello europeo per l’intera durata del programma ERASMUS+. </w:t>
      </w:r>
      <w:r w:rsidRPr="0067237C">
        <w:rPr>
          <w:rFonts w:ascii="Times New Roman" w:hAnsi="Times New Roman" w:cs="Times New Roman"/>
        </w:rPr>
        <w:t>È</w:t>
      </w:r>
      <w:r>
        <w:rPr>
          <w:rFonts w:ascii="Times New Roman" w:hAnsi="Times New Roman" w:cs="Times New Roman"/>
        </w:rPr>
        <w:t xml:space="preserve"> </w:t>
      </w:r>
      <w:r w:rsidRPr="0067237C">
        <w:rPr>
          <w:rFonts w:ascii="Times New Roman" w:hAnsi="Times New Roman" w:cs="Times New Roman"/>
        </w:rPr>
        <w:t>compito delle Agenzi</w:t>
      </w:r>
      <w:r>
        <w:rPr>
          <w:rFonts w:ascii="Times New Roman" w:hAnsi="Times New Roman" w:cs="Times New Roman"/>
        </w:rPr>
        <w:t>e</w:t>
      </w:r>
      <w:r w:rsidRPr="0067237C">
        <w:rPr>
          <w:rFonts w:ascii="Times New Roman" w:hAnsi="Times New Roman" w:cs="Times New Roman"/>
        </w:rPr>
        <w:t xml:space="preserve"> Nazionali garantire il maggior bilanciamento geografico possibile nella distribuzione dei fondi, su base annuale</w:t>
      </w:r>
      <w:r>
        <w:rPr>
          <w:rFonts w:ascii="Times New Roman" w:hAnsi="Times New Roman" w:cs="Times New Roman"/>
        </w:rPr>
        <w:t xml:space="preserve">. </w:t>
      </w:r>
      <w:r w:rsidRPr="00802DF9">
        <w:rPr>
          <w:rFonts w:ascii="Times New Roman" w:hAnsi="Times New Roman" w:cs="Times New Roman"/>
        </w:rPr>
        <w:t xml:space="preserve">Tale operazione sarà svolta al termine della valutazione qualitativa. </w:t>
      </w:r>
      <w:r>
        <w:rPr>
          <w:rFonts w:ascii="Times New Roman" w:hAnsi="Times New Roman" w:cs="Times New Roman"/>
        </w:rPr>
        <w:t>T</w:t>
      </w:r>
      <w:r w:rsidRPr="00802DF9">
        <w:rPr>
          <w:rFonts w:ascii="Times New Roman" w:hAnsi="Times New Roman" w:cs="Times New Roman"/>
        </w:rPr>
        <w:t>uttavia,</w:t>
      </w:r>
      <w:r>
        <w:rPr>
          <w:rFonts w:ascii="Times New Roman" w:hAnsi="Times New Roman" w:cs="Times New Roman"/>
        </w:rPr>
        <w:t xml:space="preserve"> si incoraggiano gli Istituti di istruzione superiore a cooperare anche con i Paesi partner nelle regioni meno sviluppate.</w:t>
      </w:r>
    </w:p>
    <w:p w:rsidR="00011828" w:rsidRDefault="0067237C" w:rsidP="00F36585">
      <w:pPr>
        <w:spacing w:before="240"/>
        <w:jc w:val="both"/>
        <w:rPr>
          <w:rFonts w:ascii="Times New Roman" w:hAnsi="Times New Roman" w:cs="Times New Roman"/>
        </w:rPr>
      </w:pPr>
      <w:r w:rsidRPr="00011828">
        <w:rPr>
          <w:rFonts w:ascii="Times New Roman" w:hAnsi="Times New Roman" w:cs="Times New Roman"/>
        </w:rPr>
        <w:t>Dopo ogni call annuale la</w:t>
      </w:r>
      <w:r w:rsidR="00F36585" w:rsidRPr="00011828">
        <w:rPr>
          <w:rFonts w:ascii="Times New Roman" w:hAnsi="Times New Roman" w:cs="Times New Roman"/>
        </w:rPr>
        <w:t xml:space="preserve"> Commission</w:t>
      </w:r>
      <w:r w:rsidR="006B0EB7">
        <w:rPr>
          <w:rFonts w:ascii="Times New Roman" w:hAnsi="Times New Roman" w:cs="Times New Roman"/>
        </w:rPr>
        <w:t>e</w:t>
      </w:r>
      <w:r w:rsidR="00F36585" w:rsidRPr="00011828">
        <w:rPr>
          <w:rFonts w:ascii="Times New Roman" w:hAnsi="Times New Roman" w:cs="Times New Roman"/>
        </w:rPr>
        <w:t xml:space="preserve"> </w:t>
      </w:r>
      <w:r w:rsidRPr="00011828">
        <w:rPr>
          <w:rFonts w:ascii="Times New Roman" w:hAnsi="Times New Roman" w:cs="Times New Roman"/>
        </w:rPr>
        <w:t>esamina il livello di bilanciamento</w:t>
      </w:r>
      <w:r w:rsidR="00F36585" w:rsidRPr="00011828">
        <w:rPr>
          <w:rFonts w:ascii="Times New Roman" w:hAnsi="Times New Roman" w:cs="Times New Roman"/>
        </w:rPr>
        <w:t xml:space="preserve"> </w:t>
      </w:r>
      <w:r w:rsidRPr="00011828">
        <w:rPr>
          <w:rFonts w:ascii="Times New Roman" w:hAnsi="Times New Roman" w:cs="Times New Roman"/>
        </w:rPr>
        <w:t xml:space="preserve">all’interno di ciascun </w:t>
      </w:r>
      <w:r w:rsidR="00084D1F">
        <w:rPr>
          <w:rFonts w:ascii="Times New Roman" w:hAnsi="Times New Roman" w:cs="Times New Roman"/>
        </w:rPr>
        <w:t>sotto</w:t>
      </w:r>
      <w:r w:rsidR="009C42E7">
        <w:rPr>
          <w:rFonts w:ascii="Times New Roman" w:hAnsi="Times New Roman" w:cs="Times New Roman"/>
        </w:rPr>
        <w:t xml:space="preserve"> </w:t>
      </w:r>
      <w:r w:rsidR="00084D1F">
        <w:rPr>
          <w:rFonts w:ascii="Times New Roman" w:hAnsi="Times New Roman" w:cs="Times New Roman"/>
        </w:rPr>
        <w:t>capitolo</w:t>
      </w:r>
      <w:r w:rsidR="00F36585" w:rsidRPr="00011828">
        <w:rPr>
          <w:rFonts w:ascii="Times New Roman" w:hAnsi="Times New Roman" w:cs="Times New Roman"/>
        </w:rPr>
        <w:t xml:space="preserve"> </w:t>
      </w:r>
      <w:r w:rsidRPr="00011828">
        <w:rPr>
          <w:rFonts w:ascii="Times New Roman" w:hAnsi="Times New Roman" w:cs="Times New Roman"/>
        </w:rPr>
        <w:t>e si riserva il diritto di rimuovere specifi</w:t>
      </w:r>
      <w:r w:rsidR="00011828">
        <w:rPr>
          <w:rFonts w:ascii="Times New Roman" w:hAnsi="Times New Roman" w:cs="Times New Roman"/>
        </w:rPr>
        <w:t>ci</w:t>
      </w:r>
      <w:r w:rsidRPr="00011828">
        <w:rPr>
          <w:rFonts w:ascii="Times New Roman" w:hAnsi="Times New Roman" w:cs="Times New Roman"/>
        </w:rPr>
        <w:t xml:space="preserve"> Partner </w:t>
      </w:r>
      <w:proofErr w:type="spellStart"/>
      <w:r w:rsidRPr="00011828">
        <w:rPr>
          <w:rFonts w:ascii="Times New Roman" w:hAnsi="Times New Roman" w:cs="Times New Roman"/>
        </w:rPr>
        <w:t>Countries</w:t>
      </w:r>
      <w:proofErr w:type="spellEnd"/>
      <w:r w:rsidRPr="00011828">
        <w:rPr>
          <w:rFonts w:ascii="Times New Roman" w:hAnsi="Times New Roman" w:cs="Times New Roman"/>
        </w:rPr>
        <w:t xml:space="preserve"> </w:t>
      </w:r>
      <w:r w:rsidR="00011828">
        <w:rPr>
          <w:rFonts w:ascii="Times New Roman" w:hAnsi="Times New Roman" w:cs="Times New Roman"/>
        </w:rPr>
        <w:t>“</w:t>
      </w:r>
      <w:r w:rsidR="00011828" w:rsidRPr="00011828">
        <w:rPr>
          <w:rFonts w:ascii="Times New Roman" w:hAnsi="Times New Roman" w:cs="Times New Roman"/>
        </w:rPr>
        <w:t>maggiormente richiest</w:t>
      </w:r>
      <w:r w:rsidR="00011828">
        <w:rPr>
          <w:rFonts w:ascii="Times New Roman" w:hAnsi="Times New Roman" w:cs="Times New Roman"/>
        </w:rPr>
        <w:t>i”</w:t>
      </w:r>
      <w:r w:rsidR="00011828" w:rsidRPr="00011828">
        <w:rPr>
          <w:rFonts w:ascii="Times New Roman" w:hAnsi="Times New Roman" w:cs="Times New Roman"/>
        </w:rPr>
        <w:t xml:space="preserve"> dal</w:t>
      </w:r>
      <w:r w:rsidR="00011828">
        <w:rPr>
          <w:rFonts w:ascii="Times New Roman" w:hAnsi="Times New Roman" w:cs="Times New Roman"/>
        </w:rPr>
        <w:t>l</w:t>
      </w:r>
      <w:r w:rsidR="00011828" w:rsidRPr="00011828">
        <w:rPr>
          <w:rFonts w:ascii="Times New Roman" w:hAnsi="Times New Roman" w:cs="Times New Roman"/>
        </w:rPr>
        <w:t xml:space="preserve">e </w:t>
      </w:r>
      <w:r w:rsidR="00011828">
        <w:rPr>
          <w:rFonts w:ascii="Times New Roman" w:hAnsi="Times New Roman" w:cs="Times New Roman"/>
        </w:rPr>
        <w:t>future call</w:t>
      </w:r>
      <w:r w:rsidR="00011828" w:rsidRPr="00011828">
        <w:rPr>
          <w:rFonts w:ascii="Times New Roman" w:hAnsi="Times New Roman" w:cs="Times New Roman"/>
        </w:rPr>
        <w:t xml:space="preserve"> qualora il livello di bilanciamento geografico raggiunto non fosse soddisfacente</w:t>
      </w:r>
      <w:r w:rsidR="00011828">
        <w:rPr>
          <w:rFonts w:ascii="Times New Roman" w:hAnsi="Times New Roman" w:cs="Times New Roman"/>
        </w:rPr>
        <w:t>.</w:t>
      </w:r>
    </w:p>
    <w:p w:rsidR="00F36585" w:rsidRPr="00011828" w:rsidRDefault="007F5D8A" w:rsidP="00F36585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Trattandosi di un elemento di</w:t>
      </w:r>
      <w:r w:rsidR="00011828" w:rsidRPr="00011828">
        <w:rPr>
          <w:rFonts w:ascii="Times New Roman" w:hAnsi="Times New Roman" w:cs="Times New Roman"/>
        </w:rPr>
        <w:t xml:space="preserve"> discontinuità </w:t>
      </w:r>
      <w:r>
        <w:rPr>
          <w:rFonts w:ascii="Times New Roman" w:hAnsi="Times New Roman" w:cs="Times New Roman"/>
        </w:rPr>
        <w:t xml:space="preserve">che la Commissione non auspica di introdurre </w:t>
      </w:r>
      <w:r w:rsidR="00011828" w:rsidRPr="00011828">
        <w:rPr>
          <w:rFonts w:ascii="Times New Roman" w:hAnsi="Times New Roman" w:cs="Times New Roman"/>
        </w:rPr>
        <w:t xml:space="preserve">all’interno dell’azione International Credit Mobility, </w:t>
      </w:r>
      <w:r>
        <w:rPr>
          <w:rFonts w:ascii="Times New Roman" w:hAnsi="Times New Roman" w:cs="Times New Roman"/>
        </w:rPr>
        <w:t>si invitano gli I</w:t>
      </w:r>
      <w:r w:rsidR="00011828" w:rsidRPr="00011828">
        <w:rPr>
          <w:rFonts w:ascii="Times New Roman" w:hAnsi="Times New Roman" w:cs="Times New Roman"/>
        </w:rPr>
        <w:t xml:space="preserve">stituti che intendono presentare </w:t>
      </w:r>
      <w:r w:rsidR="00084D1F">
        <w:rPr>
          <w:rFonts w:ascii="Times New Roman" w:hAnsi="Times New Roman" w:cs="Times New Roman"/>
        </w:rPr>
        <w:t>candidatura</w:t>
      </w:r>
      <w:r w:rsidR="00011828" w:rsidRPr="00011828">
        <w:rPr>
          <w:rFonts w:ascii="Times New Roman" w:hAnsi="Times New Roman" w:cs="Times New Roman"/>
        </w:rPr>
        <w:t xml:space="preserve"> per questa specifica azione</w:t>
      </w:r>
      <w:r>
        <w:rPr>
          <w:rFonts w:ascii="Times New Roman" w:hAnsi="Times New Roman" w:cs="Times New Roman"/>
        </w:rPr>
        <w:t xml:space="preserve"> a prestare particolare attenzione ai c</w:t>
      </w:r>
      <w:r w:rsidR="006B0EB7">
        <w:rPr>
          <w:rFonts w:ascii="Times New Roman" w:hAnsi="Times New Roman" w:cs="Times New Roman"/>
        </w:rPr>
        <w:t>riteri di bilanciamento g</w:t>
      </w:r>
      <w:r>
        <w:rPr>
          <w:rFonts w:ascii="Times New Roman" w:hAnsi="Times New Roman" w:cs="Times New Roman"/>
        </w:rPr>
        <w:t>eografico.</w:t>
      </w:r>
    </w:p>
    <w:p w:rsidR="003F5050" w:rsidRDefault="003F5050" w:rsidP="00F36585">
      <w:pPr>
        <w:spacing w:before="240"/>
        <w:jc w:val="both"/>
        <w:rPr>
          <w:rFonts w:ascii="Times New Roman" w:hAnsi="Times New Roman" w:cs="Times New Roman"/>
        </w:rPr>
      </w:pPr>
    </w:p>
    <w:p w:rsidR="003F5050" w:rsidRPr="00544C71" w:rsidRDefault="008271B2" w:rsidP="003F5050">
      <w:pPr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22"/>
          <w:lang w:eastAsia="it-IT"/>
        </w:rPr>
      </w:pPr>
      <w:r w:rsidRPr="00544C71">
        <w:rPr>
          <w:rFonts w:ascii="Times New Roman" w:eastAsia="Times New Roman" w:hAnsi="Times New Roman" w:cs="Times New Roman"/>
          <w:b/>
          <w:color w:val="000000"/>
          <w:sz w:val="19"/>
          <w:szCs w:val="22"/>
          <w:lang w:eastAsia="it-IT"/>
        </w:rPr>
        <w:t>DIVERSIFICAZIONE DEI BENEFICIARI</w:t>
      </w:r>
    </w:p>
    <w:p w:rsidR="00B15F0E" w:rsidRPr="003E4BBB" w:rsidRDefault="00B8509C" w:rsidP="003F5050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C854E2">
        <w:rPr>
          <w:rFonts w:ascii="Times New Roman" w:hAnsi="Times New Roman" w:cs="Times New Roman"/>
        </w:rPr>
        <w:t>Infine</w:t>
      </w:r>
      <w:r w:rsidR="003F5050" w:rsidRPr="00C854E2">
        <w:rPr>
          <w:rFonts w:ascii="Times New Roman" w:hAnsi="Times New Roman" w:cs="Times New Roman"/>
        </w:rPr>
        <w:t xml:space="preserve">, </w:t>
      </w:r>
      <w:r w:rsidR="003E4BBB">
        <w:rPr>
          <w:rFonts w:ascii="Times New Roman" w:hAnsi="Times New Roman" w:cs="Times New Roman"/>
        </w:rPr>
        <w:t xml:space="preserve">con riferimento alla </w:t>
      </w:r>
      <w:r w:rsidR="003E4BBB" w:rsidRPr="00C854E2">
        <w:rPr>
          <w:rFonts w:ascii="Times New Roman" w:hAnsi="Times New Roman" w:cs="Times New Roman"/>
        </w:rPr>
        <w:t>Erasmus+</w:t>
      </w:r>
      <w:r w:rsidR="003E4BBB">
        <w:rPr>
          <w:rFonts w:ascii="Times New Roman" w:hAnsi="Times New Roman" w:cs="Times New Roman"/>
        </w:rPr>
        <w:t xml:space="preserve"> </w:t>
      </w:r>
      <w:proofErr w:type="spellStart"/>
      <w:r w:rsidR="003E4BBB">
        <w:rPr>
          <w:rFonts w:ascii="Times New Roman" w:hAnsi="Times New Roman" w:cs="Times New Roman"/>
        </w:rPr>
        <w:t>Programme</w:t>
      </w:r>
      <w:proofErr w:type="spellEnd"/>
      <w:r w:rsidR="003E4BBB">
        <w:rPr>
          <w:rFonts w:ascii="Times New Roman" w:hAnsi="Times New Roman" w:cs="Times New Roman"/>
        </w:rPr>
        <w:t xml:space="preserve"> Guide</w:t>
      </w:r>
      <w:r w:rsidRPr="00C854E2">
        <w:rPr>
          <w:rFonts w:ascii="Times New Roman" w:hAnsi="Times New Roman" w:cs="Times New Roman"/>
        </w:rPr>
        <w:t xml:space="preserve"> 201</w:t>
      </w:r>
      <w:r w:rsidR="00C854E2" w:rsidRPr="00C854E2">
        <w:rPr>
          <w:rFonts w:ascii="Times New Roman" w:hAnsi="Times New Roman" w:cs="Times New Roman"/>
        </w:rPr>
        <w:t>8</w:t>
      </w:r>
      <w:r w:rsidRPr="00C854E2">
        <w:rPr>
          <w:rFonts w:ascii="Times New Roman" w:hAnsi="Times New Roman" w:cs="Times New Roman"/>
        </w:rPr>
        <w:t>.</w:t>
      </w:r>
      <w:r w:rsidR="006B47F2" w:rsidRPr="00C854E2">
        <w:rPr>
          <w:rFonts w:ascii="Times New Roman" w:hAnsi="Times New Roman" w:cs="Times New Roman"/>
        </w:rPr>
        <w:t xml:space="preserve"> </w:t>
      </w:r>
      <w:r w:rsidR="006B47F2" w:rsidRPr="00C854E2">
        <w:rPr>
          <w:rFonts w:ascii="Times New Roman" w:hAnsi="Times New Roman" w:cs="Times New Roman"/>
          <w:i/>
          <w:sz w:val="18"/>
          <w:szCs w:val="18"/>
        </w:rPr>
        <w:t xml:space="preserve">(Pagina </w:t>
      </w:r>
      <w:r w:rsidR="00C854E2" w:rsidRPr="00C854E2">
        <w:rPr>
          <w:rFonts w:ascii="Times New Roman" w:hAnsi="Times New Roman" w:cs="Times New Roman"/>
          <w:i/>
          <w:sz w:val="18"/>
          <w:szCs w:val="18"/>
        </w:rPr>
        <w:t>39</w:t>
      </w:r>
      <w:r w:rsidR="006B47F2" w:rsidRPr="00C854E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854E2" w:rsidRPr="00C854E2">
        <w:rPr>
          <w:rFonts w:ascii="Times New Roman" w:hAnsi="Times New Roman" w:cs="Times New Roman"/>
          <w:i/>
          <w:sz w:val="18"/>
          <w:szCs w:val="18"/>
        </w:rPr>
        <w:t>EN</w:t>
      </w:r>
      <w:r w:rsidR="003E4BBB">
        <w:rPr>
          <w:rFonts w:ascii="Times New Roman" w:hAnsi="Times New Roman" w:cs="Times New Roman"/>
          <w:i/>
          <w:sz w:val="18"/>
          <w:szCs w:val="18"/>
        </w:rPr>
        <w:t xml:space="preserve"> ver</w:t>
      </w:r>
      <w:r w:rsidR="00C854E2" w:rsidRPr="00C854E2">
        <w:rPr>
          <w:rFonts w:ascii="Times New Roman" w:hAnsi="Times New Roman" w:cs="Times New Roman"/>
          <w:i/>
          <w:sz w:val="18"/>
          <w:szCs w:val="18"/>
        </w:rPr>
        <w:t>.</w:t>
      </w:r>
      <w:r w:rsidR="003E4BBB">
        <w:rPr>
          <w:rFonts w:ascii="Times New Roman" w:hAnsi="Times New Roman" w:cs="Times New Roman"/>
          <w:i/>
          <w:sz w:val="18"/>
          <w:szCs w:val="18"/>
        </w:rPr>
        <w:t xml:space="preserve">), </w:t>
      </w:r>
      <w:r w:rsidR="003E4BBB" w:rsidRPr="003E4BBB">
        <w:rPr>
          <w:rFonts w:ascii="Times New Roman" w:hAnsi="Times New Roman" w:cs="Times New Roman"/>
        </w:rPr>
        <w:t xml:space="preserve">si ricorda che </w:t>
      </w:r>
      <w:r w:rsidR="003E4BBB">
        <w:rPr>
          <w:rFonts w:ascii="Times New Roman" w:hAnsi="Times New Roman" w:cs="Times New Roman"/>
        </w:rPr>
        <w:t>è</w:t>
      </w:r>
      <w:r w:rsidR="00084D1F" w:rsidRPr="00544C71">
        <w:rPr>
          <w:rFonts w:ascii="Times New Roman" w:hAnsi="Times New Roman" w:cs="Times New Roman"/>
        </w:rPr>
        <w:t xml:space="preserve"> c</w:t>
      </w:r>
      <w:r w:rsidRPr="00544C71">
        <w:rPr>
          <w:rFonts w:ascii="Times New Roman" w:hAnsi="Times New Roman" w:cs="Times New Roman"/>
        </w:rPr>
        <w:t>ompito dell’Agenzia Nazionale, o</w:t>
      </w:r>
      <w:r w:rsidR="003F5050" w:rsidRPr="00544C71">
        <w:rPr>
          <w:rFonts w:ascii="Times New Roman" w:hAnsi="Times New Roman" w:cs="Times New Roman"/>
        </w:rPr>
        <w:t>ve possibile, e in aggiunt</w:t>
      </w:r>
      <w:r w:rsidR="00C854E2">
        <w:rPr>
          <w:rFonts w:ascii="Times New Roman" w:hAnsi="Times New Roman" w:cs="Times New Roman"/>
        </w:rPr>
        <w:t xml:space="preserve">a ai criteri generali di ordine, </w:t>
      </w:r>
      <w:r w:rsidR="003F5050" w:rsidRPr="00544C71">
        <w:rPr>
          <w:rFonts w:ascii="Times New Roman" w:hAnsi="Times New Roman" w:cs="Times New Roman"/>
        </w:rPr>
        <w:t xml:space="preserve">di merito e di equilibrio geografico, </w:t>
      </w:r>
      <w:r w:rsidRPr="00544C71">
        <w:rPr>
          <w:rFonts w:ascii="Times New Roman" w:hAnsi="Times New Roman" w:cs="Times New Roman"/>
        </w:rPr>
        <w:t>cercare</w:t>
      </w:r>
      <w:r w:rsidR="003F5050" w:rsidRPr="00544C71">
        <w:rPr>
          <w:rFonts w:ascii="Times New Roman" w:hAnsi="Times New Roman" w:cs="Times New Roman"/>
        </w:rPr>
        <w:t xml:space="preserve"> di </w:t>
      </w:r>
      <w:r w:rsidRPr="00544C71">
        <w:rPr>
          <w:rFonts w:ascii="Times New Roman" w:hAnsi="Times New Roman" w:cs="Times New Roman"/>
        </w:rPr>
        <w:t xml:space="preserve">garantire una distribuzione del </w:t>
      </w:r>
      <w:r w:rsidR="003F5050" w:rsidRPr="00544C71">
        <w:rPr>
          <w:rFonts w:ascii="Times New Roman" w:hAnsi="Times New Roman" w:cs="Times New Roman"/>
        </w:rPr>
        <w:t>budget a disposizione</w:t>
      </w:r>
      <w:r w:rsidRPr="00544C71">
        <w:rPr>
          <w:rFonts w:ascii="Times New Roman" w:hAnsi="Times New Roman" w:cs="Times New Roman"/>
        </w:rPr>
        <w:t>,</w:t>
      </w:r>
      <w:r w:rsidR="003F5050" w:rsidRPr="00544C71">
        <w:rPr>
          <w:rFonts w:ascii="Times New Roman" w:hAnsi="Times New Roman" w:cs="Times New Roman"/>
        </w:rPr>
        <w:t xml:space="preserve"> </w:t>
      </w:r>
      <w:r w:rsidRPr="00544C71">
        <w:rPr>
          <w:rFonts w:ascii="Times New Roman" w:hAnsi="Times New Roman" w:cs="Times New Roman"/>
        </w:rPr>
        <w:t>quanto più ampia possibile</w:t>
      </w:r>
      <w:r w:rsidR="003F5050" w:rsidRPr="00544C71">
        <w:rPr>
          <w:rFonts w:ascii="Times New Roman" w:hAnsi="Times New Roman" w:cs="Times New Roman"/>
        </w:rPr>
        <w:t xml:space="preserve"> al fine </w:t>
      </w:r>
      <w:r w:rsidR="00802DF9" w:rsidRPr="00802DF9">
        <w:rPr>
          <w:rFonts w:ascii="Times New Roman" w:hAnsi="Times New Roman" w:cs="Times New Roman"/>
        </w:rPr>
        <w:t xml:space="preserve">di finanziare il maggior numero possibile di </w:t>
      </w:r>
      <w:r w:rsidR="003F5050" w:rsidRPr="00544C71">
        <w:rPr>
          <w:rFonts w:ascii="Times New Roman" w:hAnsi="Times New Roman" w:cs="Times New Roman"/>
        </w:rPr>
        <w:t>Istituti di Istruzione S</w:t>
      </w:r>
      <w:r w:rsidRPr="00544C71">
        <w:rPr>
          <w:rFonts w:ascii="Times New Roman" w:hAnsi="Times New Roman" w:cs="Times New Roman"/>
        </w:rPr>
        <w:t>uperiore. Sarà pertanto cura dell’Agenzia N</w:t>
      </w:r>
      <w:r w:rsidR="003F5050" w:rsidRPr="00544C71">
        <w:rPr>
          <w:rFonts w:ascii="Times New Roman" w:hAnsi="Times New Roman" w:cs="Times New Roman"/>
        </w:rPr>
        <w:t xml:space="preserve">azionale </w:t>
      </w:r>
      <w:r w:rsidRPr="00544C71">
        <w:rPr>
          <w:rFonts w:ascii="Times New Roman" w:hAnsi="Times New Roman" w:cs="Times New Roman"/>
        </w:rPr>
        <w:t xml:space="preserve">essere quanto </w:t>
      </w:r>
      <w:r w:rsidR="003F5050" w:rsidRPr="00544C71">
        <w:rPr>
          <w:rFonts w:ascii="Times New Roman" w:hAnsi="Times New Roman" w:cs="Times New Roman"/>
        </w:rPr>
        <w:t>più inclusiv</w:t>
      </w:r>
      <w:r w:rsidRPr="00544C71">
        <w:rPr>
          <w:rFonts w:ascii="Times New Roman" w:hAnsi="Times New Roman" w:cs="Times New Roman"/>
        </w:rPr>
        <w:t>a</w:t>
      </w:r>
      <w:r w:rsidR="003F5050" w:rsidRPr="00544C71">
        <w:rPr>
          <w:rFonts w:ascii="Times New Roman" w:hAnsi="Times New Roman" w:cs="Times New Roman"/>
        </w:rPr>
        <w:t xml:space="preserve"> possibile, massimizzando la parteci</w:t>
      </w:r>
      <w:r w:rsidR="00544C71" w:rsidRPr="00544C71">
        <w:rPr>
          <w:rFonts w:ascii="Times New Roman" w:hAnsi="Times New Roman" w:cs="Times New Roman"/>
        </w:rPr>
        <w:t>pazione delle parti interessate</w:t>
      </w:r>
      <w:r w:rsidR="006B47F2">
        <w:rPr>
          <w:rFonts w:ascii="Times New Roman" w:hAnsi="Times New Roman" w:cs="Times New Roman"/>
        </w:rPr>
        <w:t xml:space="preserve">, </w:t>
      </w:r>
      <w:r w:rsidR="00802DF9" w:rsidRPr="00802DF9">
        <w:rPr>
          <w:rFonts w:ascii="Times New Roman" w:hAnsi="Times New Roman" w:cs="Times New Roman"/>
        </w:rPr>
        <w:t>senza compromettere la qualità, l'equilibrio geografico o la dimensione minima critica per progetto di mobilità, al fine di garantire la fattibilità</w:t>
      </w:r>
      <w:r w:rsidR="00802DF9">
        <w:rPr>
          <w:rFonts w:ascii="Times New Roman" w:hAnsi="Times New Roman" w:cs="Times New Roman"/>
        </w:rPr>
        <w:t>. A</w:t>
      </w:r>
      <w:r w:rsidR="006B47F2">
        <w:rPr>
          <w:rFonts w:ascii="Times New Roman" w:hAnsi="Times New Roman" w:cs="Times New Roman"/>
        </w:rPr>
        <w:t xml:space="preserve"> tal proposito </w:t>
      </w:r>
      <w:r w:rsidR="00802DF9" w:rsidRPr="00802DF9">
        <w:rPr>
          <w:rFonts w:ascii="Times New Roman" w:hAnsi="Times New Roman" w:cs="Times New Roman"/>
        </w:rPr>
        <w:t>si rimanda alle</w:t>
      </w:r>
      <w:r w:rsidR="00802DF9">
        <w:rPr>
          <w:rFonts w:ascii="Times New Roman" w:hAnsi="Times New Roman" w:cs="Times New Roman"/>
          <w:u w:val="single"/>
        </w:rPr>
        <w:t xml:space="preserve"> D</w:t>
      </w:r>
      <w:r w:rsidR="006B47F2" w:rsidRPr="00C7340F">
        <w:rPr>
          <w:rFonts w:ascii="Times New Roman" w:hAnsi="Times New Roman" w:cs="Times New Roman"/>
          <w:u w:val="single"/>
        </w:rPr>
        <w:t>isposizioni nazional</w:t>
      </w:r>
      <w:r w:rsidR="006B47F2" w:rsidRPr="00802DF9">
        <w:rPr>
          <w:rFonts w:ascii="Times New Roman" w:hAnsi="Times New Roman" w:cs="Times New Roman"/>
          <w:u w:val="single"/>
        </w:rPr>
        <w:t>i</w:t>
      </w:r>
      <w:r w:rsidR="00802DF9" w:rsidRPr="00802DF9">
        <w:rPr>
          <w:rFonts w:ascii="Times New Roman" w:hAnsi="Times New Roman" w:cs="Times New Roman"/>
          <w:u w:val="single"/>
        </w:rPr>
        <w:t xml:space="preserve"> 2018</w:t>
      </w:r>
      <w:r w:rsidR="00802DF9" w:rsidRPr="00802DF9">
        <w:rPr>
          <w:rFonts w:ascii="Times New Roman" w:hAnsi="Times New Roman" w:cs="Times New Roman"/>
        </w:rPr>
        <w:t>.</w:t>
      </w:r>
      <w:r w:rsidR="00544C71" w:rsidRPr="00544C71">
        <w:rPr>
          <w:rFonts w:ascii="Times New Roman" w:hAnsi="Times New Roman" w:cs="Times New Roman"/>
        </w:rPr>
        <w:t xml:space="preserve"> </w:t>
      </w:r>
    </w:p>
    <w:p w:rsidR="00B8509C" w:rsidRDefault="00B8509C" w:rsidP="003F5050">
      <w:pPr>
        <w:jc w:val="both"/>
        <w:rPr>
          <w:rFonts w:ascii="Times New Roman" w:hAnsi="Times New Roman" w:cs="Times New Roman"/>
        </w:rPr>
      </w:pPr>
    </w:p>
    <w:p w:rsidR="00802DF9" w:rsidRDefault="00802DF9" w:rsidP="003F505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02DF9" w:rsidSect="002A1E0E">
      <w:headerReference w:type="default" r:id="rId22"/>
      <w:footerReference w:type="default" r:id="rId23"/>
      <w:pgSz w:w="11900" w:h="16840"/>
      <w:pgMar w:top="2246" w:right="1134" w:bottom="198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BC" w:rsidRDefault="00C61ABC">
      <w:r>
        <w:separator/>
      </w:r>
    </w:p>
  </w:endnote>
  <w:endnote w:type="continuationSeparator" w:id="0">
    <w:p w:rsidR="00C61ABC" w:rsidRDefault="00C6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046930"/>
      <w:docPartObj>
        <w:docPartGallery w:val="Page Numbers (Bottom of Page)"/>
        <w:docPartUnique/>
      </w:docPartObj>
    </w:sdtPr>
    <w:sdtContent>
      <w:p w:rsidR="00B16E14" w:rsidRDefault="00B16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B2402" w:rsidRDefault="009B24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BC" w:rsidRDefault="00C61ABC">
      <w:r>
        <w:separator/>
      </w:r>
    </w:p>
  </w:footnote>
  <w:footnote w:type="continuationSeparator" w:id="0">
    <w:p w:rsidR="00C61ABC" w:rsidRDefault="00C61ABC">
      <w:r>
        <w:continuationSeparator/>
      </w:r>
    </w:p>
  </w:footnote>
  <w:footnote w:id="1">
    <w:p w:rsidR="00061DDA" w:rsidRPr="00D204C9" w:rsidRDefault="00061DDA" w:rsidP="00061DD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D204C9">
        <w:rPr>
          <w:lang w:val="it-IT"/>
        </w:rPr>
        <w:t xml:space="preserve"> </w:t>
      </w:r>
      <w:r w:rsidRPr="00EC2564">
        <w:rPr>
          <w:szCs w:val="24"/>
          <w:lang w:val="it-IT"/>
        </w:rPr>
        <w:t>Il sotto</w:t>
      </w:r>
      <w:r w:rsidR="00593814">
        <w:rPr>
          <w:szCs w:val="24"/>
          <w:lang w:val="it-IT"/>
        </w:rPr>
        <w:t xml:space="preserve"> </w:t>
      </w:r>
      <w:r w:rsidRPr="00EC2564">
        <w:rPr>
          <w:szCs w:val="24"/>
          <w:lang w:val="it-IT"/>
        </w:rPr>
        <w:t>capitolo di bilancio per la mobilità totale per la Russia ricomprende fondi provenienti dagli strumenti</w:t>
      </w:r>
      <w:r>
        <w:rPr>
          <w:szCs w:val="24"/>
          <w:lang w:val="it-IT"/>
        </w:rPr>
        <w:t xml:space="preserve"> </w:t>
      </w:r>
      <w:r w:rsidRPr="00EC2564">
        <w:rPr>
          <w:szCs w:val="24"/>
          <w:lang w:val="it-IT"/>
        </w:rPr>
        <w:t>ENI e PI. Al fine di facilitare la consultazione, sono stati raggruppati tutti all’interno del sotto</w:t>
      </w:r>
      <w:r w:rsidR="00593814">
        <w:rPr>
          <w:szCs w:val="24"/>
          <w:lang w:val="it-IT"/>
        </w:rPr>
        <w:t xml:space="preserve"> </w:t>
      </w:r>
      <w:r w:rsidRPr="00EC2564">
        <w:rPr>
          <w:szCs w:val="24"/>
          <w:lang w:val="it-IT"/>
        </w:rPr>
        <w:t>capitolo ENI.</w:t>
      </w:r>
    </w:p>
  </w:footnote>
  <w:footnote w:id="2">
    <w:p w:rsidR="00A1479C" w:rsidRPr="00D204C9" w:rsidRDefault="00A1479C" w:rsidP="00061DD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D204C9">
        <w:rPr>
          <w:lang w:val="it-IT"/>
        </w:rPr>
        <w:t xml:space="preserve"> </w:t>
      </w:r>
      <w:r w:rsidRPr="00EC2564">
        <w:rPr>
          <w:szCs w:val="24"/>
          <w:lang w:val="it-IT"/>
        </w:rPr>
        <w:t>Il sotto</w:t>
      </w:r>
      <w:r w:rsidR="00B32091">
        <w:rPr>
          <w:szCs w:val="24"/>
          <w:lang w:val="it-IT"/>
        </w:rPr>
        <w:t xml:space="preserve"> </w:t>
      </w:r>
      <w:r w:rsidRPr="00EC2564">
        <w:rPr>
          <w:szCs w:val="24"/>
          <w:lang w:val="it-IT"/>
        </w:rPr>
        <w:t>capitolo di bilancio per la mobilità totale per la Russia ricomprende fondi provenienti dagli strumenti</w:t>
      </w:r>
      <w:r>
        <w:rPr>
          <w:szCs w:val="24"/>
          <w:lang w:val="it-IT"/>
        </w:rPr>
        <w:t xml:space="preserve"> </w:t>
      </w:r>
      <w:r w:rsidRPr="00EC2564">
        <w:rPr>
          <w:szCs w:val="24"/>
          <w:lang w:val="it-IT"/>
        </w:rPr>
        <w:t>ENI e PI. Al fine di facilitare la consultazione, sono stati raggruppati tutti all’interno del sotto</w:t>
      </w:r>
      <w:r w:rsidR="00B32091">
        <w:rPr>
          <w:szCs w:val="24"/>
          <w:lang w:val="it-IT"/>
        </w:rPr>
        <w:t xml:space="preserve"> </w:t>
      </w:r>
      <w:r w:rsidRPr="00EC2564">
        <w:rPr>
          <w:szCs w:val="24"/>
          <w:lang w:val="it-IT"/>
        </w:rPr>
        <w:t>capitolo 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02" w:rsidRDefault="0086384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-430530</wp:posOffset>
          </wp:positionV>
          <wp:extent cx="7571740" cy="1804670"/>
          <wp:effectExtent l="0" t="0" r="0" b="5080"/>
          <wp:wrapTight wrapText="bothSides">
            <wp:wrapPolygon edited="0">
              <wp:start x="0" y="0"/>
              <wp:lineTo x="0" y="21433"/>
              <wp:lineTo x="21520" y="21433"/>
              <wp:lineTo x="21520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E37"/>
    <w:multiLevelType w:val="hybridMultilevel"/>
    <w:tmpl w:val="D5501BD8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E32EC"/>
    <w:multiLevelType w:val="hybridMultilevel"/>
    <w:tmpl w:val="A818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C6"/>
    <w:rsid w:val="00011828"/>
    <w:rsid w:val="0001389C"/>
    <w:rsid w:val="000351B7"/>
    <w:rsid w:val="00061DDA"/>
    <w:rsid w:val="00084D1F"/>
    <w:rsid w:val="000D0208"/>
    <w:rsid w:val="000D332E"/>
    <w:rsid w:val="000D61D1"/>
    <w:rsid w:val="000F4185"/>
    <w:rsid w:val="00124842"/>
    <w:rsid w:val="00154284"/>
    <w:rsid w:val="00166040"/>
    <w:rsid w:val="00181510"/>
    <w:rsid w:val="001911DA"/>
    <w:rsid w:val="001A4F2F"/>
    <w:rsid w:val="00280EF2"/>
    <w:rsid w:val="002A1E0E"/>
    <w:rsid w:val="003131E7"/>
    <w:rsid w:val="003560BB"/>
    <w:rsid w:val="0036081E"/>
    <w:rsid w:val="0036527A"/>
    <w:rsid w:val="003B0A35"/>
    <w:rsid w:val="003B29F3"/>
    <w:rsid w:val="003D05BD"/>
    <w:rsid w:val="003E4BBB"/>
    <w:rsid w:val="003F5050"/>
    <w:rsid w:val="004B2ED6"/>
    <w:rsid w:val="004E1763"/>
    <w:rsid w:val="00540256"/>
    <w:rsid w:val="00544C71"/>
    <w:rsid w:val="00593814"/>
    <w:rsid w:val="005F2435"/>
    <w:rsid w:val="0067237C"/>
    <w:rsid w:val="00672DAE"/>
    <w:rsid w:val="006A294A"/>
    <w:rsid w:val="006A63DC"/>
    <w:rsid w:val="006B0EB7"/>
    <w:rsid w:val="006B47F2"/>
    <w:rsid w:val="006B7118"/>
    <w:rsid w:val="006D03C6"/>
    <w:rsid w:val="00792846"/>
    <w:rsid w:val="007976DC"/>
    <w:rsid w:val="007F5D8A"/>
    <w:rsid w:val="00802DF9"/>
    <w:rsid w:val="008144C5"/>
    <w:rsid w:val="008271B2"/>
    <w:rsid w:val="0086384D"/>
    <w:rsid w:val="008762D8"/>
    <w:rsid w:val="008B4DAD"/>
    <w:rsid w:val="009210A5"/>
    <w:rsid w:val="00934221"/>
    <w:rsid w:val="009B113D"/>
    <w:rsid w:val="009B2402"/>
    <w:rsid w:val="009C42E7"/>
    <w:rsid w:val="00A04FB0"/>
    <w:rsid w:val="00A1479C"/>
    <w:rsid w:val="00A167E5"/>
    <w:rsid w:val="00A17BFF"/>
    <w:rsid w:val="00A778E6"/>
    <w:rsid w:val="00B13146"/>
    <w:rsid w:val="00B15F0E"/>
    <w:rsid w:val="00B16E14"/>
    <w:rsid w:val="00B32091"/>
    <w:rsid w:val="00B449D3"/>
    <w:rsid w:val="00B72652"/>
    <w:rsid w:val="00B84522"/>
    <w:rsid w:val="00B8509C"/>
    <w:rsid w:val="00BA38C6"/>
    <w:rsid w:val="00BC255C"/>
    <w:rsid w:val="00BC69EF"/>
    <w:rsid w:val="00BD4804"/>
    <w:rsid w:val="00BD7F52"/>
    <w:rsid w:val="00C45FBA"/>
    <w:rsid w:val="00C56CAF"/>
    <w:rsid w:val="00C61ABC"/>
    <w:rsid w:val="00C7340F"/>
    <w:rsid w:val="00C854E2"/>
    <w:rsid w:val="00CD381E"/>
    <w:rsid w:val="00D02944"/>
    <w:rsid w:val="00D734AF"/>
    <w:rsid w:val="00DE5E9A"/>
    <w:rsid w:val="00E416AB"/>
    <w:rsid w:val="00F36585"/>
    <w:rsid w:val="00FB27E6"/>
    <w:rsid w:val="00FD56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AF38AFF-DA0E-469C-98FC-8B5BF3B7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55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03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3C6"/>
  </w:style>
  <w:style w:type="paragraph" w:styleId="Pidipagina">
    <w:name w:val="footer"/>
    <w:basedOn w:val="Normale"/>
    <w:link w:val="PidipaginaCarattere"/>
    <w:uiPriority w:val="99"/>
    <w:unhideWhenUsed/>
    <w:rsid w:val="006D03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3C6"/>
  </w:style>
  <w:style w:type="character" w:styleId="Collegamentoipertestuale">
    <w:name w:val="Hyperlink"/>
    <w:basedOn w:val="Carpredefinitoparagrafo"/>
    <w:uiPriority w:val="99"/>
    <w:unhideWhenUsed/>
    <w:rsid w:val="004B2ED6"/>
    <w:rPr>
      <w:color w:val="0000FF" w:themeColor="hyperlink"/>
      <w:u w:val="single"/>
    </w:rPr>
  </w:style>
  <w:style w:type="paragraph" w:styleId="Corpodeltesto2">
    <w:name w:val="Body Text 2"/>
    <w:aliases w:val="Guide Text"/>
    <w:basedOn w:val="Normale"/>
    <w:link w:val="Corpodeltesto2Carattere"/>
    <w:uiPriority w:val="99"/>
    <w:rsid w:val="00061DDA"/>
    <w:pPr>
      <w:spacing w:after="120" w:line="48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Corpodeltesto2Carattere">
    <w:name w:val="Corpo del testo 2 Carattere"/>
    <w:aliases w:val="Guide Text Carattere"/>
    <w:basedOn w:val="Carpredefinitoparagrafo"/>
    <w:link w:val="Corpodeltesto2"/>
    <w:uiPriority w:val="99"/>
    <w:rsid w:val="00061DDA"/>
    <w:rPr>
      <w:rFonts w:ascii="Times New Roman" w:eastAsia="Times New Roman" w:hAnsi="Times New Roman" w:cs="Times New Roman"/>
      <w:szCs w:val="20"/>
      <w:lang w:val="en-GB"/>
    </w:rPr>
  </w:style>
  <w:style w:type="paragraph" w:styleId="Testonotaapidipagina">
    <w:name w:val="footnote text"/>
    <w:basedOn w:val="Normale"/>
    <w:link w:val="TestonotaapidipaginaCarattere"/>
    <w:semiHidden/>
    <w:rsid w:val="00061DDA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1D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Guide-Heading5">
    <w:name w:val="Guide - Heading 5"/>
    <w:basedOn w:val="Normale"/>
    <w:rsid w:val="00061DDA"/>
    <w:pPr>
      <w:keepNext/>
      <w:suppressAutoHyphens/>
      <w:autoSpaceDN w:val="0"/>
      <w:spacing w:before="200" w:after="200"/>
      <w:textAlignment w:val="baseline"/>
      <w:outlineLvl w:val="0"/>
    </w:pPr>
    <w:rPr>
      <w:rFonts w:ascii="Tahoma" w:eastAsia="Times New Roman" w:hAnsi="Tahoma" w:cs="Tahoma"/>
      <w:b/>
      <w:smallCaps/>
      <w:kern w:val="3"/>
      <w:sz w:val="22"/>
      <w:szCs w:val="20"/>
      <w:lang w:val="en-GB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1DDA"/>
    <w:rPr>
      <w:vertAlign w:val="superscript"/>
    </w:rPr>
  </w:style>
  <w:style w:type="paragraph" w:customStyle="1" w:styleId="Default">
    <w:name w:val="Default"/>
    <w:rsid w:val="00BA38C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Grigliatabella">
    <w:name w:val="Table Grid"/>
    <w:basedOn w:val="Tabellanormale"/>
    <w:uiPriority w:val="59"/>
    <w:rsid w:val="00A1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2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where/latin-america/country-cooperation/bolivia/bolivia_en.htm" TargetMode="External"/><Relationship Id="rId13" Type="http://schemas.openxmlformats.org/officeDocument/2006/relationships/hyperlink" Target="http://ec.europa.eu/europeaid/where/latin-america/country-cooperation/el-salvador/el-salvador_en.htm" TargetMode="External"/><Relationship Id="rId18" Type="http://schemas.openxmlformats.org/officeDocument/2006/relationships/hyperlink" Target="http://ec.europa.eu/europeaid/where/latin-america/country-cooperation/panama/panama_e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rasmusplus.it/universita/mobilita-internazionale-per-crediti-ka107/" TargetMode="External"/><Relationship Id="rId7" Type="http://schemas.openxmlformats.org/officeDocument/2006/relationships/hyperlink" Target="http://ec.europa.eu/europeaid/where/latin-america/country-cooperation/argentina/argentina_en.htm" TargetMode="External"/><Relationship Id="rId12" Type="http://schemas.openxmlformats.org/officeDocument/2006/relationships/hyperlink" Target="http://ec.europa.eu/europeaid/where/latin-america/country-cooperation/costa-rica/costa-rica_en.htm" TargetMode="External"/><Relationship Id="rId17" Type="http://schemas.openxmlformats.org/officeDocument/2006/relationships/hyperlink" Target="http://ec.europa.eu/europeaid/where/latin-america/country-cooperation/nicaragua/nicaragua_en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c.europa.eu/europeaid/where/latin-america/country-cooperation/mexico/mexico_en.htm" TargetMode="External"/><Relationship Id="rId20" Type="http://schemas.openxmlformats.org/officeDocument/2006/relationships/hyperlink" Target="http://ec.europa.eu/europeaid/where/latin-america/country-cooperation/venezuela/venezuela_en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europeaid/where/latin-america/country-cooperation/colombia/colombia_en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c.europa.eu/europeaid/where/latin-america/country-cooperation/honduras/honduras_en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c.europa.eu/europeaid/where/latin-america/country-cooperation/chile/chile_en.htm" TargetMode="External"/><Relationship Id="rId19" Type="http://schemas.openxmlformats.org/officeDocument/2006/relationships/hyperlink" Target="http://ec.europa.eu/europeaid/where/latin-america/country-cooperation/paraguay/paraguay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peaid/where/latin-america/country-cooperation/brazil/brazil_en.htm" TargetMode="External"/><Relationship Id="rId14" Type="http://schemas.openxmlformats.org/officeDocument/2006/relationships/hyperlink" Target="http://ec.europa.eu/europeaid/where/latin-america/country-cooperation/guatemala/guatemala_en.ht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ansas</Company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 Venturi</dc:creator>
  <cp:lastModifiedBy>l.faroni</cp:lastModifiedBy>
  <cp:revision>4</cp:revision>
  <cp:lastPrinted>2018-01-09T14:33:00Z</cp:lastPrinted>
  <dcterms:created xsi:type="dcterms:W3CDTF">2018-01-10T10:36:00Z</dcterms:created>
  <dcterms:modified xsi:type="dcterms:W3CDTF">2018-01-10T10:51:00Z</dcterms:modified>
</cp:coreProperties>
</file>